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7E3" w:rsidRDefault="003457E3" w:rsidP="003457E3">
      <w:pPr>
        <w:pStyle w:val="gp-topp1"/>
        <w:framePr w:wrap="auto"/>
        <w:rPr>
          <w:noProof/>
        </w:rPr>
      </w:pPr>
      <w:r>
        <w:rPr>
          <w:noProof/>
        </w:rPr>
        <w:t xml:space="preserve">UNIVERSITETET </w:t>
      </w:r>
      <w:r>
        <w:rPr>
          <w:noProof/>
        </w:rPr>
        <w:br/>
        <w:t>I OSLO</w:t>
      </w:r>
    </w:p>
    <w:p w:rsidR="003457E3" w:rsidRDefault="003457E3" w:rsidP="003457E3">
      <w:pPr>
        <w:pStyle w:val="gp-logo"/>
        <w:framePr w:w="9417" w:wrap="auto" w:x="1153" w:y="721"/>
        <w:spacing w:line="200" w:lineRule="atLeast"/>
        <w:ind w:right="0"/>
        <w:rPr>
          <w:noProof/>
          <w:spacing w:val="0"/>
          <w:sz w:val="28"/>
        </w:rPr>
      </w:pPr>
      <w:r>
        <w:rPr>
          <w:noProof/>
          <w:sz w:val="20"/>
        </w:rPr>
        <w:drawing>
          <wp:inline distT="0" distB="0" distL="0" distR="0">
            <wp:extent cx="711200" cy="723900"/>
            <wp:effectExtent l="38100" t="19050" r="1270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11200" cy="723900"/>
                    </a:xfrm>
                    <a:prstGeom prst="rect">
                      <a:avLst/>
                    </a:prstGeom>
                    <a:noFill/>
                    <a:ln w="19050" cmpd="sng">
                      <a:solidFill>
                        <a:srgbClr val="000000"/>
                      </a:solidFill>
                      <a:miter lim="800000"/>
                      <a:headEnd/>
                      <a:tailEnd/>
                    </a:ln>
                    <a:effectLst/>
                  </pic:spPr>
                </pic:pic>
              </a:graphicData>
            </a:graphic>
          </wp:inline>
        </w:drawing>
      </w:r>
      <w:r>
        <w:rPr>
          <w:noProof/>
          <w:sz w:val="20"/>
        </w:rPr>
        <w:t xml:space="preserve"> </w:t>
      </w:r>
      <w:r>
        <w:rPr>
          <w:noProof/>
          <w:sz w:val="22"/>
        </w:rPr>
        <w:t xml:space="preserve"> INSTITU</w:t>
      </w:r>
      <w:r w:rsidR="00E56A89">
        <w:rPr>
          <w:noProof/>
          <w:sz w:val="22"/>
        </w:rPr>
        <w:t>TT FOR LITTERATUR, OMRÅDESTUDIUM</w:t>
      </w:r>
      <w:r>
        <w:rPr>
          <w:noProof/>
          <w:sz w:val="22"/>
        </w:rPr>
        <w:t xml:space="preserve"> OG EUROPEISKE SPRÅK</w:t>
      </w:r>
    </w:p>
    <w:p w:rsidR="003457E3" w:rsidRDefault="003457E3" w:rsidP="003457E3">
      <w:pPr>
        <w:pStyle w:val="Caption"/>
        <w:rPr>
          <w:noProof/>
        </w:rPr>
      </w:pPr>
    </w:p>
    <w:p w:rsidR="003457E3" w:rsidRDefault="003457E3" w:rsidP="003457E3">
      <w:pPr>
        <w:rPr>
          <w:b/>
          <w:noProof/>
        </w:rPr>
      </w:pPr>
    </w:p>
    <w:p w:rsidR="003457E3" w:rsidRDefault="003457E3" w:rsidP="003457E3">
      <w:pPr>
        <w:rPr>
          <w:b/>
          <w:noProof/>
        </w:rPr>
      </w:pPr>
    </w:p>
    <w:p w:rsidR="003457E3" w:rsidRDefault="00E56A89" w:rsidP="003457E3">
      <w:pPr>
        <w:jc w:val="center"/>
        <w:rPr>
          <w:noProof/>
        </w:rPr>
      </w:pPr>
      <w:r>
        <w:rPr>
          <w:b/>
          <w:noProof/>
          <w:sz w:val="24"/>
        </w:rPr>
        <w:t>SKU</w:t>
      </w:r>
      <w:r w:rsidR="003457E3">
        <w:rPr>
          <w:b/>
          <w:noProof/>
          <w:sz w:val="24"/>
        </w:rPr>
        <w:t>LEEKSAMEN</w:t>
      </w:r>
    </w:p>
    <w:p w:rsidR="003457E3" w:rsidRDefault="00E56A89" w:rsidP="003457E3">
      <w:pPr>
        <w:jc w:val="center"/>
        <w:rPr>
          <w:noProof/>
        </w:rPr>
      </w:pPr>
      <w:r>
        <w:rPr>
          <w:noProof/>
        </w:rPr>
        <w:t>Nynorsk</w:t>
      </w:r>
    </w:p>
    <w:p w:rsidR="003457E3" w:rsidRPr="001543AD" w:rsidRDefault="003457E3" w:rsidP="003457E3">
      <w:pPr>
        <w:pStyle w:val="Heading2"/>
        <w:jc w:val="center"/>
        <w:rPr>
          <w:b w:val="0"/>
          <w:noProof/>
        </w:rPr>
      </w:pPr>
      <w:r w:rsidRPr="001543AD">
        <w:rPr>
          <w:b w:val="0"/>
          <w:noProof/>
        </w:rPr>
        <w:t>4 sider</w:t>
      </w:r>
    </w:p>
    <w:p w:rsidR="003457E3" w:rsidRPr="002F02C3" w:rsidRDefault="003457E3" w:rsidP="003457E3">
      <w:pPr>
        <w:pStyle w:val="Heading2"/>
        <w:rPr>
          <w:b w:val="0"/>
          <w:noProof/>
          <w:sz w:val="22"/>
        </w:rPr>
      </w:pPr>
      <w:r w:rsidRPr="002F02C3">
        <w:rPr>
          <w:noProof/>
          <w:sz w:val="22"/>
        </w:rPr>
        <w:t>Tysk 1101 – Tysk språk: Leseferdighet</w:t>
      </w:r>
    </w:p>
    <w:p w:rsidR="003457E3" w:rsidRPr="002F02C3" w:rsidRDefault="003457E3" w:rsidP="003457E3">
      <w:pPr>
        <w:rPr>
          <w:b/>
          <w:noProof/>
          <w:sz w:val="22"/>
        </w:rPr>
      </w:pPr>
    </w:p>
    <w:p w:rsidR="003457E3" w:rsidRPr="002F02C3" w:rsidRDefault="00E56A89" w:rsidP="003457E3">
      <w:pPr>
        <w:rPr>
          <w:b/>
          <w:noProof/>
          <w:sz w:val="22"/>
        </w:rPr>
      </w:pPr>
      <w:r>
        <w:rPr>
          <w:b/>
          <w:noProof/>
          <w:sz w:val="22"/>
        </w:rPr>
        <w:t>4 tima</w:t>
      </w:r>
      <w:r w:rsidR="003457E3">
        <w:rPr>
          <w:b/>
          <w:noProof/>
          <w:sz w:val="22"/>
        </w:rPr>
        <w:t>r</w:t>
      </w:r>
      <w:r w:rsidR="003457E3" w:rsidRPr="002F02C3">
        <w:rPr>
          <w:b/>
          <w:noProof/>
          <w:sz w:val="22"/>
        </w:rPr>
        <w:tab/>
      </w:r>
      <w:r w:rsidR="003457E3" w:rsidRPr="002F02C3">
        <w:rPr>
          <w:b/>
          <w:noProof/>
          <w:sz w:val="22"/>
        </w:rPr>
        <w:tab/>
      </w:r>
      <w:r w:rsidR="003457E3" w:rsidRPr="002F02C3">
        <w:rPr>
          <w:b/>
          <w:noProof/>
          <w:sz w:val="22"/>
        </w:rPr>
        <w:tab/>
      </w:r>
      <w:r w:rsidR="003457E3" w:rsidRPr="002F02C3">
        <w:rPr>
          <w:b/>
          <w:noProof/>
          <w:sz w:val="22"/>
        </w:rPr>
        <w:tab/>
      </w:r>
      <w:r w:rsidR="003457E3" w:rsidRPr="002F02C3">
        <w:rPr>
          <w:b/>
          <w:noProof/>
          <w:sz w:val="22"/>
        </w:rPr>
        <w:tab/>
      </w:r>
      <w:r w:rsidR="003457E3" w:rsidRPr="002F02C3">
        <w:rPr>
          <w:b/>
          <w:noProof/>
          <w:sz w:val="22"/>
        </w:rPr>
        <w:tab/>
      </w:r>
      <w:r w:rsidR="003457E3" w:rsidRPr="002F02C3">
        <w:rPr>
          <w:b/>
          <w:noProof/>
          <w:sz w:val="22"/>
        </w:rPr>
        <w:tab/>
      </w:r>
      <w:r w:rsidR="003457E3" w:rsidRPr="002F02C3">
        <w:rPr>
          <w:b/>
          <w:noProof/>
          <w:sz w:val="22"/>
        </w:rPr>
        <w:tab/>
      </w:r>
      <w:r w:rsidR="003457E3" w:rsidRPr="002F02C3">
        <w:rPr>
          <w:b/>
          <w:noProof/>
          <w:sz w:val="22"/>
        </w:rPr>
        <w:tab/>
        <w:t xml:space="preserve">        Fredag 4. juni 2010</w:t>
      </w:r>
    </w:p>
    <w:p w:rsidR="003457E3" w:rsidRPr="002F02C3" w:rsidRDefault="003457E3" w:rsidP="003457E3">
      <w:pPr>
        <w:rPr>
          <w:noProof/>
          <w:sz w:val="22"/>
        </w:rPr>
      </w:pPr>
      <w:r w:rsidRPr="002F02C3">
        <w:rPr>
          <w:noProof/>
          <w:sz w:val="22"/>
        </w:rPr>
        <w:t>===========================================================================</w:t>
      </w:r>
    </w:p>
    <w:p w:rsidR="003457E3" w:rsidRDefault="003457E3" w:rsidP="003457E3">
      <w:pPr>
        <w:rPr>
          <w:i/>
          <w:noProof/>
        </w:rPr>
      </w:pPr>
    </w:p>
    <w:p w:rsidR="003457E3" w:rsidRPr="008F03EE" w:rsidRDefault="003457E3" w:rsidP="003457E3">
      <w:pPr>
        <w:rPr>
          <w:i/>
          <w:noProof/>
          <w:sz w:val="24"/>
        </w:rPr>
      </w:pPr>
    </w:p>
    <w:p w:rsidR="003457E3" w:rsidRPr="002F02C3" w:rsidRDefault="003457E3" w:rsidP="003457E3">
      <w:pPr>
        <w:rPr>
          <w:i/>
          <w:noProof/>
          <w:sz w:val="22"/>
        </w:rPr>
      </w:pPr>
      <w:r>
        <w:rPr>
          <w:i/>
          <w:noProof/>
          <w:sz w:val="22"/>
        </w:rPr>
        <w:t>Tillatne hjelpemiddel</w:t>
      </w:r>
      <w:r w:rsidRPr="002F02C3">
        <w:rPr>
          <w:i/>
          <w:noProof/>
          <w:sz w:val="22"/>
        </w:rPr>
        <w:t>: ingen.</w:t>
      </w:r>
    </w:p>
    <w:p w:rsidR="003457E3" w:rsidRPr="002F02C3" w:rsidRDefault="003457E3" w:rsidP="003457E3">
      <w:pPr>
        <w:rPr>
          <w:i/>
          <w:noProof/>
          <w:sz w:val="22"/>
          <w:szCs w:val="24"/>
        </w:rPr>
      </w:pPr>
    </w:p>
    <w:p w:rsidR="003457E3" w:rsidRPr="002F02C3" w:rsidRDefault="003457E3" w:rsidP="003457E3">
      <w:pPr>
        <w:rPr>
          <w:i/>
          <w:noProof/>
          <w:sz w:val="22"/>
          <w:szCs w:val="24"/>
        </w:rPr>
      </w:pPr>
    </w:p>
    <w:p w:rsidR="003457E3" w:rsidRPr="002F02C3" w:rsidRDefault="003457E3" w:rsidP="003457E3">
      <w:pPr>
        <w:rPr>
          <w:i/>
          <w:sz w:val="22"/>
          <w:szCs w:val="24"/>
          <w:lang w:val="nn-NO"/>
        </w:rPr>
      </w:pPr>
      <w:r w:rsidRPr="002F02C3">
        <w:rPr>
          <w:i/>
          <w:sz w:val="22"/>
          <w:szCs w:val="24"/>
          <w:lang w:val="nn-NO"/>
        </w:rPr>
        <w:t>Oppgåvesettet består av ei</w:t>
      </w:r>
      <w:r>
        <w:rPr>
          <w:i/>
          <w:sz w:val="22"/>
          <w:szCs w:val="24"/>
          <w:lang w:val="nn-NO"/>
        </w:rPr>
        <w:t>n</w:t>
      </w:r>
      <w:r w:rsidRPr="002F02C3">
        <w:rPr>
          <w:i/>
          <w:sz w:val="22"/>
          <w:szCs w:val="24"/>
          <w:lang w:val="nn-NO"/>
        </w:rPr>
        <w:t xml:space="preserve"> t</w:t>
      </w:r>
      <w:r w:rsidR="00821229">
        <w:rPr>
          <w:i/>
          <w:sz w:val="22"/>
          <w:szCs w:val="24"/>
          <w:lang w:val="nn-NO"/>
        </w:rPr>
        <w:t xml:space="preserve">ysk tekst og oppgåver tilhøyrande </w:t>
      </w:r>
      <w:r w:rsidRPr="002F02C3">
        <w:rPr>
          <w:i/>
          <w:sz w:val="22"/>
          <w:szCs w:val="24"/>
          <w:lang w:val="nn-NO"/>
        </w:rPr>
        <w:t xml:space="preserve"> teksten (4 sider til saman).</w:t>
      </w:r>
    </w:p>
    <w:p w:rsidR="003457E3" w:rsidRDefault="003457E3" w:rsidP="003457E3">
      <w:pPr>
        <w:rPr>
          <w:i/>
          <w:noProof/>
          <w:sz w:val="22"/>
          <w:szCs w:val="24"/>
          <w:lang w:val="nn-NO"/>
        </w:rPr>
      </w:pPr>
      <w:r w:rsidRPr="002F02C3">
        <w:rPr>
          <w:i/>
          <w:sz w:val="22"/>
          <w:szCs w:val="24"/>
          <w:lang w:val="nn-NO"/>
        </w:rPr>
        <w:t>Kandidaten skal svare på oppgåvene på norsk</w:t>
      </w:r>
      <w:r w:rsidRPr="002F02C3">
        <w:rPr>
          <w:i/>
          <w:noProof/>
          <w:sz w:val="22"/>
          <w:szCs w:val="24"/>
          <w:lang w:val="nn-NO"/>
        </w:rPr>
        <w:t xml:space="preserve">. </w:t>
      </w:r>
    </w:p>
    <w:p w:rsidR="00F8743D" w:rsidRPr="00F8743D" w:rsidRDefault="00FB3B6C" w:rsidP="003457E3">
      <w:pPr>
        <w:rPr>
          <w:i/>
          <w:noProof/>
          <w:sz w:val="22"/>
          <w:szCs w:val="24"/>
          <w:lang w:val="nn-NO"/>
        </w:rPr>
      </w:pPr>
      <w:r>
        <w:rPr>
          <w:i/>
          <w:noProof/>
          <w:sz w:val="22"/>
          <w:szCs w:val="24"/>
          <w:lang w:val="nn-NO"/>
        </w:rPr>
        <w:t>Studenten skal skrive</w:t>
      </w:r>
      <w:r w:rsidR="00F8743D">
        <w:rPr>
          <w:i/>
          <w:noProof/>
          <w:sz w:val="22"/>
          <w:szCs w:val="24"/>
          <w:lang w:val="nn-NO"/>
        </w:rPr>
        <w:t xml:space="preserve"> alle svara  på innføringsark!</w:t>
      </w:r>
    </w:p>
    <w:p w:rsidR="003457E3" w:rsidRPr="00F8743D" w:rsidRDefault="003457E3" w:rsidP="003457E3">
      <w:pPr>
        <w:rPr>
          <w:iCs/>
          <w:noProof/>
          <w:sz w:val="24"/>
          <w:szCs w:val="24"/>
        </w:rPr>
      </w:pPr>
    </w:p>
    <w:p w:rsidR="003457E3" w:rsidRPr="00F8743D" w:rsidRDefault="003457E3" w:rsidP="003457E3">
      <w:pPr>
        <w:rPr>
          <w:iCs/>
          <w:noProof/>
          <w:sz w:val="24"/>
          <w:szCs w:val="24"/>
        </w:rPr>
      </w:pPr>
    </w:p>
    <w:p w:rsidR="003457E3" w:rsidRPr="002F02C3" w:rsidRDefault="003457E3" w:rsidP="003457E3">
      <w:pPr>
        <w:spacing w:after="120" w:line="288" w:lineRule="auto"/>
        <w:jc w:val="both"/>
        <w:rPr>
          <w:noProof/>
          <w:sz w:val="24"/>
          <w:szCs w:val="24"/>
          <w:lang w:val="de-DE"/>
        </w:rPr>
      </w:pPr>
      <w:r w:rsidRPr="002F02C3">
        <w:rPr>
          <w:b/>
          <w:noProof/>
          <w:sz w:val="24"/>
          <w:szCs w:val="24"/>
          <w:lang w:val="de-DE"/>
        </w:rPr>
        <w:t xml:space="preserve">A. Fragen zum Inhalt des Textes </w:t>
      </w:r>
    </w:p>
    <w:p w:rsidR="003457E3" w:rsidRPr="002F02C3" w:rsidRDefault="003457E3" w:rsidP="003457E3">
      <w:pPr>
        <w:numPr>
          <w:ilvl w:val="0"/>
          <w:numId w:val="1"/>
        </w:numPr>
        <w:spacing w:after="120" w:line="288" w:lineRule="auto"/>
        <w:jc w:val="both"/>
        <w:rPr>
          <w:noProof/>
          <w:sz w:val="22"/>
          <w:szCs w:val="24"/>
          <w:lang w:val="de-DE"/>
        </w:rPr>
      </w:pPr>
      <w:r w:rsidRPr="002F02C3">
        <w:rPr>
          <w:noProof/>
          <w:sz w:val="22"/>
          <w:szCs w:val="24"/>
          <w:lang w:val="de-DE"/>
        </w:rPr>
        <w:t>Fassen Sie die Botschaft dieses Textes in einem Satz zusammen.</w:t>
      </w:r>
    </w:p>
    <w:p w:rsidR="003457E3" w:rsidRPr="002F02C3" w:rsidRDefault="003457E3" w:rsidP="003457E3">
      <w:pPr>
        <w:numPr>
          <w:ilvl w:val="0"/>
          <w:numId w:val="1"/>
        </w:numPr>
        <w:spacing w:after="120" w:line="288" w:lineRule="auto"/>
        <w:jc w:val="both"/>
        <w:rPr>
          <w:noProof/>
          <w:sz w:val="22"/>
          <w:szCs w:val="24"/>
          <w:lang w:val="de-DE"/>
        </w:rPr>
      </w:pPr>
      <w:r w:rsidRPr="002F02C3">
        <w:rPr>
          <w:noProof/>
          <w:sz w:val="22"/>
          <w:szCs w:val="24"/>
          <w:lang w:val="de-DE"/>
        </w:rPr>
        <w:t>Nennen Sie fünf thematisch zentrale Substantive aus dem Text und ihre norwegischen Entsprechungen.  Geben Sie bei den deutschen Substantiven das Genus an.</w:t>
      </w:r>
    </w:p>
    <w:p w:rsidR="003457E3" w:rsidRPr="002F02C3" w:rsidRDefault="003457E3" w:rsidP="003457E3">
      <w:pPr>
        <w:numPr>
          <w:ilvl w:val="0"/>
          <w:numId w:val="1"/>
        </w:numPr>
        <w:spacing w:after="120" w:line="288" w:lineRule="auto"/>
        <w:jc w:val="both"/>
        <w:rPr>
          <w:noProof/>
          <w:sz w:val="22"/>
          <w:szCs w:val="24"/>
          <w:lang w:val="de-DE"/>
        </w:rPr>
      </w:pPr>
      <w:r w:rsidRPr="002F02C3">
        <w:rPr>
          <w:noProof/>
          <w:sz w:val="22"/>
          <w:szCs w:val="24"/>
          <w:lang w:val="de-DE"/>
        </w:rPr>
        <w:t>Geben Sie den Inhalt des Textes mit Ihren eigenen Worten (ca. 120 Wörter) wieder. Identifizieren Sie dabei die Parallelen, die der Autor zwischen Hexenverfolgung und Tierversuchen zieht.</w:t>
      </w:r>
    </w:p>
    <w:p w:rsidR="003457E3" w:rsidRPr="002F02C3" w:rsidRDefault="003457E3" w:rsidP="003457E3">
      <w:pPr>
        <w:numPr>
          <w:ilvl w:val="0"/>
          <w:numId w:val="1"/>
        </w:numPr>
        <w:spacing w:after="120" w:line="288" w:lineRule="auto"/>
        <w:jc w:val="both"/>
        <w:rPr>
          <w:noProof/>
          <w:sz w:val="22"/>
          <w:szCs w:val="24"/>
          <w:lang w:val="de-DE"/>
        </w:rPr>
      </w:pPr>
      <w:r w:rsidRPr="002F02C3">
        <w:rPr>
          <w:noProof/>
          <w:sz w:val="22"/>
          <w:szCs w:val="24"/>
          <w:lang w:val="de-DE"/>
        </w:rPr>
        <w:t>Der Text ist in einer feministischen Zeitschrift (</w:t>
      </w:r>
      <w:r w:rsidRPr="002F02C3">
        <w:rPr>
          <w:i/>
          <w:noProof/>
          <w:sz w:val="22"/>
          <w:szCs w:val="24"/>
          <w:lang w:val="de-DE"/>
        </w:rPr>
        <w:t>Emma</w:t>
      </w:r>
      <w:r w:rsidRPr="002F02C3">
        <w:rPr>
          <w:noProof/>
          <w:sz w:val="22"/>
          <w:szCs w:val="24"/>
          <w:lang w:val="de-DE"/>
        </w:rPr>
        <w:t>) erschienen. An welcher Stelle spürt man das (besonders) deutlich?</w:t>
      </w:r>
    </w:p>
    <w:p w:rsidR="003457E3" w:rsidRPr="002F02C3" w:rsidRDefault="003457E3" w:rsidP="003457E3">
      <w:pPr>
        <w:numPr>
          <w:ilvl w:val="0"/>
          <w:numId w:val="1"/>
        </w:numPr>
        <w:spacing w:after="240" w:line="288" w:lineRule="auto"/>
        <w:jc w:val="both"/>
        <w:rPr>
          <w:noProof/>
          <w:sz w:val="22"/>
          <w:szCs w:val="24"/>
          <w:lang w:val="de-DE"/>
        </w:rPr>
      </w:pPr>
      <w:r w:rsidRPr="002F02C3">
        <w:rPr>
          <w:noProof/>
          <w:sz w:val="22"/>
          <w:szCs w:val="24"/>
          <w:lang w:val="de-DE"/>
        </w:rPr>
        <w:t>Übersetzen Sie den kursivierten Satz (</w:t>
      </w:r>
      <w:r w:rsidRPr="002F02C3">
        <w:rPr>
          <w:i/>
          <w:sz w:val="22"/>
          <w:lang w:val="de-DE"/>
        </w:rPr>
        <w:t>So sicher, wie die Gelehrten der damaligen Zeit waren, dass nur mit einer totalen Vernichtung der Hexen Krankheiten und Seuchen, Hungersnöte und Naturkatastrophen, Tod und Elend vom Menschen abgewandt werden konnten, genauso sicher sind die Gelehrten der heutigen Zeit, dass Krankheiten und Epidemien, von Krebs bis AIDS, sich nur mit Tierversuchen beseitigen lassen.</w:t>
      </w:r>
      <w:r w:rsidRPr="002F02C3">
        <w:rPr>
          <w:sz w:val="22"/>
          <w:lang w:val="de-DE"/>
        </w:rPr>
        <w:t>)</w:t>
      </w:r>
      <w:r w:rsidRPr="002F02C3">
        <w:rPr>
          <w:i/>
          <w:sz w:val="22"/>
          <w:lang w:val="de-DE"/>
        </w:rPr>
        <w:t xml:space="preserve"> </w:t>
      </w:r>
      <w:r w:rsidRPr="002F02C3">
        <w:rPr>
          <w:sz w:val="22"/>
          <w:lang w:val="de-DE"/>
        </w:rPr>
        <w:t>im Absatz 3) ins Norwegische.</w:t>
      </w:r>
      <w:r w:rsidRPr="002F02C3">
        <w:rPr>
          <w:noProof/>
          <w:sz w:val="22"/>
          <w:szCs w:val="24"/>
          <w:lang w:val="de-DE"/>
        </w:rPr>
        <w:t xml:space="preserve"> Die Übersetzung muss nicht besonders elegant sein, Hauptsache ist, dass sie den Sinn korrekt wiedergibt.</w:t>
      </w:r>
    </w:p>
    <w:p w:rsidR="003457E3" w:rsidRPr="002F02C3" w:rsidRDefault="003457E3" w:rsidP="003457E3">
      <w:pPr>
        <w:spacing w:after="240" w:line="288" w:lineRule="auto"/>
        <w:jc w:val="both"/>
        <w:rPr>
          <w:b/>
          <w:noProof/>
          <w:sz w:val="24"/>
          <w:szCs w:val="24"/>
          <w:lang w:val="de-DE"/>
        </w:rPr>
      </w:pPr>
      <w:r w:rsidRPr="002F02C3">
        <w:rPr>
          <w:b/>
          <w:noProof/>
          <w:sz w:val="24"/>
          <w:szCs w:val="24"/>
          <w:lang w:val="de-DE"/>
        </w:rPr>
        <w:t xml:space="preserve">B. Fragen </w:t>
      </w:r>
      <w:r w:rsidR="009444FD">
        <w:rPr>
          <w:b/>
          <w:noProof/>
          <w:sz w:val="24"/>
          <w:szCs w:val="24"/>
          <w:lang w:val="de-DE"/>
        </w:rPr>
        <w:t>zum Wort- und Grammatikverständnis</w:t>
      </w:r>
    </w:p>
    <w:p w:rsidR="003457E3" w:rsidRPr="002F02C3" w:rsidRDefault="003457E3" w:rsidP="003457E3">
      <w:pPr>
        <w:numPr>
          <w:ilvl w:val="0"/>
          <w:numId w:val="1"/>
        </w:numPr>
        <w:spacing w:after="120" w:line="264" w:lineRule="auto"/>
        <w:jc w:val="both"/>
        <w:rPr>
          <w:noProof/>
          <w:sz w:val="22"/>
          <w:szCs w:val="24"/>
          <w:lang w:val="de-DE"/>
        </w:rPr>
      </w:pPr>
      <w:r w:rsidRPr="002F02C3">
        <w:rPr>
          <w:b/>
          <w:noProof/>
          <w:sz w:val="22"/>
          <w:szCs w:val="24"/>
          <w:lang w:val="de-DE"/>
        </w:rPr>
        <w:t>a.</w:t>
      </w:r>
      <w:r w:rsidRPr="002F02C3">
        <w:rPr>
          <w:noProof/>
          <w:sz w:val="22"/>
          <w:szCs w:val="24"/>
          <w:lang w:val="de-DE"/>
        </w:rPr>
        <w:t xml:space="preserve"> Erklären Sie den Aufbau und die Bedeutung der Wörter </w:t>
      </w:r>
      <w:r w:rsidRPr="002F02C3">
        <w:rPr>
          <w:sz w:val="22"/>
          <w:u w:val="single"/>
          <w:lang w:val="de-DE"/>
        </w:rPr>
        <w:t>Einzelgängerinnen</w:t>
      </w:r>
      <w:r w:rsidRPr="002F02C3">
        <w:rPr>
          <w:noProof/>
          <w:sz w:val="22"/>
          <w:szCs w:val="24"/>
          <w:lang w:val="de-DE"/>
        </w:rPr>
        <w:t xml:space="preserve"> (Absatz 7) und </w:t>
      </w:r>
      <w:r w:rsidRPr="002F02C3">
        <w:rPr>
          <w:noProof/>
          <w:sz w:val="22"/>
          <w:szCs w:val="24"/>
          <w:u w:val="single"/>
          <w:lang w:val="de-DE"/>
        </w:rPr>
        <w:t>zulässig</w:t>
      </w:r>
      <w:r w:rsidRPr="002F02C3">
        <w:rPr>
          <w:noProof/>
          <w:sz w:val="22"/>
          <w:szCs w:val="24"/>
          <w:lang w:val="de-DE"/>
        </w:rPr>
        <w:t xml:space="preserve"> (Absatz 9). </w:t>
      </w:r>
    </w:p>
    <w:p w:rsidR="003457E3" w:rsidRPr="002F02C3" w:rsidRDefault="003457E3" w:rsidP="003457E3">
      <w:pPr>
        <w:spacing w:after="120" w:line="264" w:lineRule="auto"/>
        <w:ind w:left="360"/>
        <w:jc w:val="both"/>
        <w:rPr>
          <w:noProof/>
          <w:sz w:val="22"/>
          <w:szCs w:val="24"/>
          <w:lang w:val="de-DE"/>
        </w:rPr>
      </w:pPr>
      <w:r w:rsidRPr="002F02C3">
        <w:rPr>
          <w:b/>
          <w:noProof/>
          <w:sz w:val="22"/>
          <w:szCs w:val="24"/>
          <w:lang w:val="de-DE"/>
        </w:rPr>
        <w:t xml:space="preserve">b. </w:t>
      </w:r>
      <w:r w:rsidRPr="002F02C3">
        <w:rPr>
          <w:noProof/>
          <w:sz w:val="22"/>
          <w:szCs w:val="24"/>
          <w:lang w:val="de-DE"/>
        </w:rPr>
        <w:t xml:space="preserve">Was bedeuten die Verben </w:t>
      </w:r>
      <w:r w:rsidRPr="002F02C3">
        <w:rPr>
          <w:i/>
          <w:noProof/>
          <w:sz w:val="22"/>
          <w:szCs w:val="24"/>
          <w:u w:val="wave"/>
          <w:lang w:val="de-DE"/>
        </w:rPr>
        <w:t>an(zu)zweifeln</w:t>
      </w:r>
      <w:r w:rsidRPr="002F02C3">
        <w:rPr>
          <w:noProof/>
          <w:sz w:val="22"/>
          <w:szCs w:val="24"/>
          <w:lang w:val="de-DE"/>
        </w:rPr>
        <w:t xml:space="preserve"> (Absatz 2) und </w:t>
      </w:r>
      <w:r w:rsidRPr="002F02C3">
        <w:rPr>
          <w:i/>
          <w:noProof/>
          <w:sz w:val="22"/>
          <w:szCs w:val="24"/>
          <w:u w:val="wave"/>
          <w:lang w:val="de-DE"/>
        </w:rPr>
        <w:t>einschätzen</w:t>
      </w:r>
      <w:r w:rsidRPr="002F02C3">
        <w:rPr>
          <w:noProof/>
          <w:sz w:val="22"/>
          <w:szCs w:val="24"/>
          <w:lang w:val="de-DE"/>
        </w:rPr>
        <w:t xml:space="preserve"> (Absatz 12)? Welche Substantive liegen diesen Verben zugrunde?</w:t>
      </w:r>
    </w:p>
    <w:p w:rsidR="003457E3" w:rsidRPr="002F02C3" w:rsidRDefault="003457E3" w:rsidP="003457E3">
      <w:pPr>
        <w:numPr>
          <w:ilvl w:val="0"/>
          <w:numId w:val="1"/>
        </w:numPr>
        <w:spacing w:before="120" w:after="120" w:line="264" w:lineRule="auto"/>
        <w:jc w:val="both"/>
        <w:rPr>
          <w:noProof/>
          <w:sz w:val="22"/>
          <w:szCs w:val="24"/>
          <w:lang w:val="de-DE"/>
        </w:rPr>
      </w:pPr>
      <w:r w:rsidRPr="002F02C3">
        <w:rPr>
          <w:noProof/>
          <w:sz w:val="22"/>
          <w:szCs w:val="24"/>
          <w:lang w:val="de-DE"/>
        </w:rPr>
        <w:t xml:space="preserve">Welche typischen deutsch-norwegischen Lautkorrespondenzen lassen sich mit den doppelt unterstrichenen Wörtern </w:t>
      </w:r>
      <w:r w:rsidRPr="002F02C3">
        <w:rPr>
          <w:noProof/>
          <w:sz w:val="22"/>
          <w:szCs w:val="24"/>
          <w:u w:val="double"/>
          <w:lang w:val="de-DE"/>
        </w:rPr>
        <w:t>Seuche</w:t>
      </w:r>
      <w:r w:rsidRPr="002F02C3">
        <w:rPr>
          <w:noProof/>
          <w:sz w:val="22"/>
          <w:szCs w:val="24"/>
          <w:lang w:val="de-DE"/>
        </w:rPr>
        <w:t xml:space="preserve"> (Absatz 3), </w:t>
      </w:r>
      <w:r w:rsidRPr="002F02C3">
        <w:rPr>
          <w:noProof/>
          <w:sz w:val="22"/>
          <w:szCs w:val="24"/>
          <w:u w:val="double"/>
          <w:lang w:val="de-DE"/>
        </w:rPr>
        <w:t>Ketzer</w:t>
      </w:r>
      <w:r w:rsidRPr="002F02C3">
        <w:rPr>
          <w:noProof/>
          <w:sz w:val="22"/>
          <w:szCs w:val="24"/>
          <w:lang w:val="de-DE"/>
        </w:rPr>
        <w:t xml:space="preserve"> (Absatz 4) und </w:t>
      </w:r>
      <w:r w:rsidRPr="002F02C3">
        <w:rPr>
          <w:noProof/>
          <w:sz w:val="22"/>
          <w:szCs w:val="24"/>
          <w:u w:val="double"/>
          <w:lang w:val="de-DE"/>
        </w:rPr>
        <w:t>steigen</w:t>
      </w:r>
      <w:r w:rsidRPr="002F02C3">
        <w:rPr>
          <w:noProof/>
          <w:sz w:val="22"/>
          <w:szCs w:val="24"/>
          <w:lang w:val="de-DE"/>
        </w:rPr>
        <w:t xml:space="preserve"> (Absatz 9)  veranschaulichen?</w:t>
      </w:r>
    </w:p>
    <w:p w:rsidR="003457E3" w:rsidRPr="002F02C3" w:rsidRDefault="003457E3" w:rsidP="003457E3">
      <w:pPr>
        <w:numPr>
          <w:ilvl w:val="0"/>
          <w:numId w:val="1"/>
        </w:numPr>
        <w:spacing w:after="60" w:line="264" w:lineRule="auto"/>
        <w:jc w:val="both"/>
        <w:rPr>
          <w:i/>
          <w:noProof/>
          <w:sz w:val="22"/>
          <w:szCs w:val="24"/>
          <w:lang w:val="de-DE"/>
        </w:rPr>
      </w:pPr>
      <w:r w:rsidRPr="002F02C3">
        <w:rPr>
          <w:b/>
          <w:noProof/>
          <w:sz w:val="22"/>
          <w:szCs w:val="24"/>
          <w:lang w:val="de-DE"/>
        </w:rPr>
        <w:lastRenderedPageBreak/>
        <w:t>a.</w:t>
      </w:r>
      <w:r w:rsidRPr="002F02C3">
        <w:rPr>
          <w:noProof/>
          <w:sz w:val="22"/>
          <w:szCs w:val="24"/>
          <w:lang w:val="de-DE"/>
        </w:rPr>
        <w:t xml:space="preserve"> Im Absatz 2) kommt das zusammengesetzte Substantiv </w:t>
      </w:r>
      <w:r w:rsidRPr="002F02C3">
        <w:rPr>
          <w:i/>
          <w:noProof/>
          <w:sz w:val="22"/>
          <w:szCs w:val="24"/>
          <w:lang w:val="de-DE"/>
        </w:rPr>
        <w:t>Sendungsbewusstsein</w:t>
      </w:r>
      <w:r w:rsidRPr="002F02C3">
        <w:rPr>
          <w:noProof/>
          <w:sz w:val="22"/>
          <w:szCs w:val="24"/>
          <w:lang w:val="de-DE"/>
        </w:rPr>
        <w:t xml:space="preserve"> vor. Für </w:t>
      </w:r>
      <w:r w:rsidRPr="002F02C3">
        <w:rPr>
          <w:i/>
          <w:noProof/>
          <w:sz w:val="22"/>
          <w:szCs w:val="24"/>
          <w:lang w:val="de-DE"/>
        </w:rPr>
        <w:t>Sendung</w:t>
      </w:r>
      <w:r w:rsidRPr="002F02C3">
        <w:rPr>
          <w:noProof/>
          <w:sz w:val="22"/>
          <w:szCs w:val="24"/>
          <w:lang w:val="de-DE"/>
        </w:rPr>
        <w:t xml:space="preserve"> führt das „Wörterbuch der deutschen Gegenwartssprache“ (WDG) des DWDS fünf Bedeutungen auf: 1. </w:t>
      </w:r>
      <w:r w:rsidRPr="002F02C3">
        <w:rPr>
          <w:i/>
          <w:noProof/>
          <w:sz w:val="22"/>
          <w:szCs w:val="24"/>
          <w:lang w:val="de-DE"/>
        </w:rPr>
        <w:t>das Senden eines Gegenstandes</w:t>
      </w:r>
      <w:r w:rsidRPr="002F02C3">
        <w:rPr>
          <w:noProof/>
          <w:sz w:val="22"/>
          <w:szCs w:val="24"/>
          <w:lang w:val="de-DE"/>
        </w:rPr>
        <w:t xml:space="preserve">, 2.  </w:t>
      </w:r>
      <w:r w:rsidRPr="002F02C3">
        <w:rPr>
          <w:i/>
          <w:noProof/>
          <w:sz w:val="22"/>
          <w:szCs w:val="24"/>
          <w:lang w:val="de-DE"/>
        </w:rPr>
        <w:t>das</w:t>
      </w:r>
      <w:r w:rsidRPr="002F02C3">
        <w:rPr>
          <w:noProof/>
          <w:sz w:val="22"/>
          <w:szCs w:val="24"/>
          <w:lang w:val="de-DE"/>
        </w:rPr>
        <w:t xml:space="preserve"> </w:t>
      </w:r>
      <w:r w:rsidRPr="002F02C3">
        <w:rPr>
          <w:i/>
          <w:noProof/>
          <w:sz w:val="22"/>
          <w:szCs w:val="24"/>
          <w:lang w:val="de-DE"/>
        </w:rPr>
        <w:t>Gesandte,</w:t>
      </w:r>
      <w:r w:rsidRPr="002F02C3">
        <w:rPr>
          <w:noProof/>
          <w:sz w:val="22"/>
          <w:szCs w:val="24"/>
          <w:lang w:val="de-DE"/>
        </w:rPr>
        <w:t xml:space="preserve"> 3. </w:t>
      </w:r>
      <w:r w:rsidRPr="002F02C3">
        <w:rPr>
          <w:i/>
          <w:noProof/>
          <w:sz w:val="22"/>
          <w:szCs w:val="24"/>
          <w:lang w:val="de-DE"/>
        </w:rPr>
        <w:t>das Senden, Ausstrahlen durch einen Rundfunk-, Fernsehsender</w:t>
      </w:r>
      <w:r w:rsidRPr="002F02C3">
        <w:rPr>
          <w:noProof/>
          <w:sz w:val="22"/>
          <w:szCs w:val="24"/>
          <w:lang w:val="de-DE"/>
        </w:rPr>
        <w:t xml:space="preserve">, 4. </w:t>
      </w:r>
      <w:r w:rsidRPr="002F02C3">
        <w:rPr>
          <w:i/>
          <w:noProof/>
          <w:sz w:val="22"/>
          <w:szCs w:val="24"/>
          <w:lang w:val="de-DE"/>
        </w:rPr>
        <w:t xml:space="preserve">Abschnitt, Teil des vom Rundfunk oder Fernsehen ausgestrahlten Programms, </w:t>
      </w:r>
      <w:r w:rsidRPr="002F02C3">
        <w:rPr>
          <w:noProof/>
          <w:sz w:val="22"/>
          <w:szCs w:val="24"/>
          <w:lang w:val="de-DE"/>
        </w:rPr>
        <w:t>5.</w:t>
      </w:r>
      <w:r w:rsidRPr="002F02C3">
        <w:rPr>
          <w:i/>
          <w:noProof/>
          <w:sz w:val="22"/>
          <w:szCs w:val="24"/>
          <w:lang w:val="de-DE"/>
        </w:rPr>
        <w:t xml:space="preserve"> </w:t>
      </w:r>
      <w:r w:rsidRPr="002F02C3">
        <w:rPr>
          <w:noProof/>
          <w:sz w:val="22"/>
          <w:szCs w:val="24"/>
          <w:lang w:val="de-DE"/>
        </w:rPr>
        <w:t xml:space="preserve">[gehoben, veraltend] </w:t>
      </w:r>
      <w:r w:rsidRPr="002F02C3">
        <w:rPr>
          <w:i/>
          <w:noProof/>
          <w:sz w:val="22"/>
          <w:szCs w:val="24"/>
          <w:lang w:val="de-DE"/>
        </w:rPr>
        <w:t>große, (geschichtlich) wichtige Aufgabe, Mission .</w:t>
      </w:r>
    </w:p>
    <w:p w:rsidR="003457E3" w:rsidRPr="002F02C3" w:rsidRDefault="003457E3" w:rsidP="003457E3">
      <w:pPr>
        <w:spacing w:after="120" w:line="264" w:lineRule="auto"/>
        <w:ind w:left="360"/>
        <w:jc w:val="both"/>
        <w:rPr>
          <w:noProof/>
          <w:sz w:val="22"/>
          <w:szCs w:val="24"/>
          <w:lang w:val="de-DE"/>
        </w:rPr>
      </w:pPr>
      <w:r w:rsidRPr="002F02C3">
        <w:rPr>
          <w:noProof/>
          <w:sz w:val="22"/>
          <w:szCs w:val="24"/>
          <w:lang w:val="de-DE"/>
        </w:rPr>
        <w:t xml:space="preserve">Welche Bedeutungsvariante liegt im Text vor? </w:t>
      </w:r>
    </w:p>
    <w:p w:rsidR="003457E3" w:rsidRPr="002F02C3" w:rsidRDefault="003457E3" w:rsidP="003457E3">
      <w:pPr>
        <w:spacing w:after="120" w:line="264" w:lineRule="auto"/>
        <w:ind w:left="360"/>
        <w:jc w:val="both"/>
        <w:rPr>
          <w:noProof/>
          <w:sz w:val="22"/>
          <w:szCs w:val="24"/>
          <w:lang w:val="de-DE"/>
        </w:rPr>
      </w:pPr>
      <w:r w:rsidRPr="002F02C3">
        <w:rPr>
          <w:b/>
          <w:noProof/>
          <w:sz w:val="22"/>
          <w:szCs w:val="24"/>
          <w:lang w:val="de-DE"/>
        </w:rPr>
        <w:t>b.</w:t>
      </w:r>
      <w:r w:rsidRPr="002F02C3">
        <w:rPr>
          <w:noProof/>
          <w:sz w:val="22"/>
          <w:szCs w:val="24"/>
          <w:lang w:val="de-DE"/>
        </w:rPr>
        <w:t xml:space="preserve"> Wie kann der Zusammenhang, in dem das Adjektiv </w:t>
      </w:r>
      <w:r w:rsidRPr="002F02C3">
        <w:rPr>
          <w:i/>
          <w:noProof/>
          <w:sz w:val="22"/>
          <w:szCs w:val="24"/>
          <w:lang w:val="de-DE"/>
        </w:rPr>
        <w:t>weltlich</w:t>
      </w:r>
      <w:r w:rsidRPr="002F02C3">
        <w:rPr>
          <w:noProof/>
          <w:sz w:val="22"/>
          <w:szCs w:val="24"/>
          <w:lang w:val="de-DE"/>
        </w:rPr>
        <w:t xml:space="preserve"> im Absatz 2) erscheint, helfen, die Bedeutung dieses Adjektivs zu verstehen?</w:t>
      </w:r>
    </w:p>
    <w:p w:rsidR="003457E3" w:rsidRPr="002F02C3" w:rsidRDefault="003457E3" w:rsidP="003457E3">
      <w:pPr>
        <w:numPr>
          <w:ilvl w:val="0"/>
          <w:numId w:val="1"/>
        </w:numPr>
        <w:spacing w:after="120" w:line="264" w:lineRule="auto"/>
        <w:jc w:val="both"/>
        <w:rPr>
          <w:noProof/>
          <w:sz w:val="22"/>
          <w:szCs w:val="24"/>
          <w:lang w:val="de-DE"/>
        </w:rPr>
      </w:pPr>
      <w:r w:rsidRPr="002F02C3">
        <w:rPr>
          <w:noProof/>
          <w:sz w:val="22"/>
          <w:szCs w:val="24"/>
          <w:lang w:val="de-DE"/>
        </w:rPr>
        <w:t xml:space="preserve">Mit welchen Verbformen haben wir es bei </w:t>
      </w:r>
      <w:r w:rsidRPr="002F02C3">
        <w:rPr>
          <w:b/>
          <w:noProof/>
          <w:sz w:val="22"/>
          <w:szCs w:val="24"/>
          <w:lang w:val="de-DE"/>
        </w:rPr>
        <w:t>galten</w:t>
      </w:r>
      <w:r w:rsidRPr="002F02C3">
        <w:rPr>
          <w:noProof/>
          <w:sz w:val="22"/>
          <w:szCs w:val="24"/>
          <w:lang w:val="de-DE"/>
        </w:rPr>
        <w:t xml:space="preserve"> (Absatz 2), </w:t>
      </w:r>
      <w:r w:rsidRPr="002F02C3">
        <w:rPr>
          <w:b/>
          <w:noProof/>
          <w:sz w:val="22"/>
          <w:szCs w:val="24"/>
          <w:lang w:val="de-DE"/>
        </w:rPr>
        <w:t>aufhält</w:t>
      </w:r>
      <w:r w:rsidRPr="002F02C3">
        <w:rPr>
          <w:noProof/>
          <w:sz w:val="22"/>
          <w:szCs w:val="24"/>
          <w:lang w:val="de-DE"/>
        </w:rPr>
        <w:t xml:space="preserve"> (Absatz 4) und </w:t>
      </w:r>
      <w:r w:rsidRPr="002F02C3">
        <w:rPr>
          <w:b/>
          <w:noProof/>
          <w:sz w:val="22"/>
          <w:szCs w:val="24"/>
          <w:lang w:val="de-DE"/>
        </w:rPr>
        <w:t>hinterfragt</w:t>
      </w:r>
      <w:r w:rsidRPr="002F02C3">
        <w:rPr>
          <w:noProof/>
          <w:sz w:val="22"/>
          <w:szCs w:val="24"/>
          <w:lang w:val="de-DE"/>
        </w:rPr>
        <w:t xml:space="preserve"> (Absatz 9) zu tu</w:t>
      </w:r>
      <w:r w:rsidR="004C43B7">
        <w:rPr>
          <w:noProof/>
          <w:sz w:val="22"/>
          <w:szCs w:val="24"/>
          <w:lang w:val="de-DE"/>
        </w:rPr>
        <w:t>n</w:t>
      </w:r>
      <w:r w:rsidRPr="002F02C3">
        <w:rPr>
          <w:noProof/>
          <w:sz w:val="22"/>
          <w:szCs w:val="24"/>
          <w:lang w:val="de-DE"/>
        </w:rPr>
        <w:t xml:space="preserve">? Wie lauten die Verben im Infinitiv (mit </w:t>
      </w:r>
      <w:r w:rsidRPr="002F02C3">
        <w:rPr>
          <w:i/>
          <w:noProof/>
          <w:sz w:val="22"/>
          <w:szCs w:val="24"/>
          <w:lang w:val="de-DE"/>
        </w:rPr>
        <w:t>zu</w:t>
      </w:r>
      <w:r w:rsidRPr="002F02C3">
        <w:rPr>
          <w:noProof/>
          <w:sz w:val="22"/>
          <w:szCs w:val="24"/>
          <w:lang w:val="de-DE"/>
        </w:rPr>
        <w:t>)?</w:t>
      </w:r>
    </w:p>
    <w:p w:rsidR="003457E3" w:rsidRPr="002F02C3" w:rsidRDefault="003457E3" w:rsidP="003457E3">
      <w:pPr>
        <w:numPr>
          <w:ilvl w:val="0"/>
          <w:numId w:val="1"/>
        </w:numPr>
        <w:spacing w:after="60" w:line="264" w:lineRule="auto"/>
        <w:jc w:val="both"/>
        <w:rPr>
          <w:noProof/>
          <w:sz w:val="22"/>
          <w:lang w:val="de-DE"/>
        </w:rPr>
      </w:pPr>
      <w:r w:rsidRPr="002F02C3">
        <w:rPr>
          <w:b/>
          <w:noProof/>
          <w:sz w:val="22"/>
          <w:lang w:val="de-DE"/>
        </w:rPr>
        <w:t>a</w:t>
      </w:r>
      <w:r w:rsidRPr="002F02C3">
        <w:rPr>
          <w:noProof/>
          <w:sz w:val="22"/>
          <w:lang w:val="de-DE"/>
        </w:rPr>
        <w:t xml:space="preserve">. Identifizieren Sie den Kasus und die syntaktische Funktion der kursiv gedruckten Substantivphrase </w:t>
      </w:r>
      <w:r w:rsidRPr="002F02C3">
        <w:rPr>
          <w:i/>
          <w:noProof/>
          <w:sz w:val="22"/>
          <w:lang w:val="de-DE"/>
        </w:rPr>
        <w:t>jeglicher Folter</w:t>
      </w:r>
      <w:r w:rsidRPr="002F02C3">
        <w:rPr>
          <w:noProof/>
          <w:sz w:val="22"/>
          <w:lang w:val="de-DE"/>
        </w:rPr>
        <w:t xml:space="preserve"> im  Absatz 8).</w:t>
      </w:r>
    </w:p>
    <w:p w:rsidR="003457E3" w:rsidRPr="002F02C3" w:rsidRDefault="003457E3" w:rsidP="003457E3">
      <w:pPr>
        <w:spacing w:after="60" w:line="264" w:lineRule="auto"/>
        <w:ind w:left="360"/>
        <w:jc w:val="both"/>
        <w:rPr>
          <w:noProof/>
          <w:sz w:val="22"/>
          <w:szCs w:val="24"/>
          <w:lang w:val="de-DE"/>
        </w:rPr>
      </w:pPr>
      <w:r w:rsidRPr="002F02C3">
        <w:rPr>
          <w:b/>
          <w:noProof/>
          <w:sz w:val="22"/>
          <w:lang w:val="de-DE"/>
        </w:rPr>
        <w:t>b.</w:t>
      </w:r>
      <w:r w:rsidRPr="002F02C3">
        <w:rPr>
          <w:noProof/>
          <w:sz w:val="22"/>
          <w:lang w:val="de-DE"/>
        </w:rPr>
        <w:t xml:space="preserve"> Welches Genus hat das Fremdwort </w:t>
      </w:r>
      <w:r w:rsidRPr="002F02C3">
        <w:rPr>
          <w:i/>
          <w:noProof/>
          <w:sz w:val="22"/>
          <w:lang w:val="de-DE"/>
        </w:rPr>
        <w:t>Konsens</w:t>
      </w:r>
      <w:r w:rsidRPr="002F02C3">
        <w:rPr>
          <w:noProof/>
          <w:sz w:val="22"/>
          <w:lang w:val="de-DE"/>
        </w:rPr>
        <w:t xml:space="preserve"> (Absatz 9, erster Satz)? Woran kann man das im konkreten Zusammenhang erkennen? </w:t>
      </w:r>
    </w:p>
    <w:p w:rsidR="003457E3" w:rsidRPr="002F02C3" w:rsidRDefault="003457E3" w:rsidP="003457E3">
      <w:pPr>
        <w:numPr>
          <w:ilvl w:val="0"/>
          <w:numId w:val="1"/>
        </w:numPr>
        <w:pBdr>
          <w:bottom w:val="single" w:sz="6" w:space="1" w:color="auto"/>
        </w:pBdr>
        <w:spacing w:after="60" w:line="264" w:lineRule="auto"/>
        <w:jc w:val="both"/>
        <w:rPr>
          <w:noProof/>
          <w:sz w:val="22"/>
          <w:szCs w:val="24"/>
          <w:lang w:val="de-DE"/>
        </w:rPr>
      </w:pPr>
      <w:r w:rsidRPr="002F02C3">
        <w:rPr>
          <w:noProof/>
          <w:sz w:val="22"/>
          <w:lang w:val="de-DE"/>
        </w:rPr>
        <w:t xml:space="preserve">Analysieren Sie den kursiv gedruckten (Neben-)Satz </w:t>
      </w:r>
      <w:r w:rsidRPr="002F02C3">
        <w:rPr>
          <w:i/>
          <w:sz w:val="22"/>
          <w:lang w:val="de-DE"/>
        </w:rPr>
        <w:t>dass man damit den Konsequenzen industrieller Tierproduktion</w:t>
      </w:r>
      <w:r w:rsidRPr="002F02C3">
        <w:rPr>
          <w:sz w:val="22"/>
          <w:lang w:val="de-DE"/>
        </w:rPr>
        <w:t xml:space="preserve"> […]</w:t>
      </w:r>
      <w:r w:rsidRPr="002F02C3">
        <w:rPr>
          <w:sz w:val="22"/>
        </w:rPr>
        <w:t xml:space="preserve"> </w:t>
      </w:r>
      <w:r w:rsidRPr="002F02C3">
        <w:rPr>
          <w:i/>
          <w:sz w:val="22"/>
          <w:lang w:val="de-DE"/>
        </w:rPr>
        <w:t xml:space="preserve">entgehen kann. </w:t>
      </w:r>
      <w:r w:rsidRPr="002F02C3">
        <w:rPr>
          <w:sz w:val="22"/>
          <w:lang w:val="de-DE"/>
        </w:rPr>
        <w:t>im</w:t>
      </w:r>
      <w:r w:rsidRPr="002F02C3">
        <w:rPr>
          <w:i/>
          <w:sz w:val="22"/>
          <w:lang w:val="de-DE"/>
        </w:rPr>
        <w:t xml:space="preserve"> </w:t>
      </w:r>
      <w:r w:rsidRPr="002F02C3">
        <w:rPr>
          <w:sz w:val="22"/>
          <w:lang w:val="de-DE"/>
        </w:rPr>
        <w:t xml:space="preserve">Absatz 10). Auf den Einschub </w:t>
      </w:r>
      <w:r w:rsidRPr="002F02C3">
        <w:rPr>
          <w:i/>
          <w:sz w:val="22"/>
        </w:rPr>
        <w:t>einer auch für den Menschen ungesunden Lebensweise</w:t>
      </w:r>
      <w:r w:rsidRPr="002F02C3">
        <w:rPr>
          <w:sz w:val="22"/>
        </w:rPr>
        <w:t xml:space="preserve"> brauchen Sie nicht einzugehen. </w:t>
      </w:r>
    </w:p>
    <w:p w:rsidR="003457E3" w:rsidRPr="002F02C3" w:rsidRDefault="003457E3" w:rsidP="003457E3">
      <w:pPr>
        <w:numPr>
          <w:ilvl w:val="0"/>
          <w:numId w:val="1"/>
        </w:numPr>
        <w:pBdr>
          <w:bottom w:val="single" w:sz="6" w:space="1" w:color="auto"/>
        </w:pBdr>
        <w:spacing w:line="264" w:lineRule="auto"/>
        <w:jc w:val="both"/>
        <w:rPr>
          <w:noProof/>
          <w:sz w:val="22"/>
          <w:szCs w:val="24"/>
          <w:lang w:val="de-DE"/>
        </w:rPr>
      </w:pPr>
      <w:r w:rsidRPr="002F02C3">
        <w:rPr>
          <w:noProof/>
          <w:sz w:val="22"/>
          <w:lang w:val="de-DE"/>
        </w:rPr>
        <w:t>Erklären Sie den Num</w:t>
      </w:r>
      <w:r>
        <w:rPr>
          <w:noProof/>
          <w:sz w:val="22"/>
          <w:lang w:val="de-DE"/>
        </w:rPr>
        <w:t>e</w:t>
      </w:r>
      <w:r w:rsidRPr="002F02C3">
        <w:rPr>
          <w:noProof/>
          <w:sz w:val="22"/>
          <w:lang w:val="de-DE"/>
        </w:rPr>
        <w:t xml:space="preserve">rusunterschied zwischen den beiden finiten Verbformen im Satz </w:t>
      </w:r>
      <w:r w:rsidRPr="002F02C3">
        <w:rPr>
          <w:i/>
          <w:lang w:val="de-DE"/>
        </w:rPr>
        <w:t>dass der Teufel die Hexen gefühllos machte und sie gar keinen Schmerz verspüren könnten</w:t>
      </w:r>
      <w:r w:rsidRPr="00C57B7B">
        <w:rPr>
          <w:lang w:val="de-DE"/>
        </w:rPr>
        <w:t xml:space="preserve"> (Absatz 2)</w:t>
      </w:r>
    </w:p>
    <w:p w:rsidR="003457E3" w:rsidRPr="00447B19" w:rsidRDefault="003457E3" w:rsidP="003457E3">
      <w:pPr>
        <w:pBdr>
          <w:bottom w:val="single" w:sz="6" w:space="1" w:color="auto"/>
        </w:pBdr>
        <w:spacing w:after="240" w:line="264" w:lineRule="auto"/>
        <w:jc w:val="both"/>
        <w:rPr>
          <w:noProof/>
          <w:sz w:val="24"/>
          <w:szCs w:val="24"/>
          <w:lang w:val="de-DE"/>
        </w:rPr>
      </w:pPr>
    </w:p>
    <w:p w:rsidR="003457E3" w:rsidRPr="002F02C3" w:rsidRDefault="003457E3" w:rsidP="003457E3">
      <w:pPr>
        <w:pStyle w:val="Heading1"/>
        <w:spacing w:before="360" w:after="240"/>
        <w:rPr>
          <w:sz w:val="28"/>
          <w:lang w:val="de-DE"/>
        </w:rPr>
      </w:pPr>
      <w:r w:rsidRPr="002F02C3">
        <w:rPr>
          <w:sz w:val="28"/>
          <w:lang w:val="de-DE"/>
        </w:rPr>
        <w:t>TIERRECHTE</w:t>
      </w:r>
    </w:p>
    <w:p w:rsidR="003457E3" w:rsidRPr="00C57B7B" w:rsidRDefault="003457E3" w:rsidP="003457E3">
      <w:pPr>
        <w:pStyle w:val="Heading2"/>
        <w:rPr>
          <w:lang w:val="de-DE"/>
        </w:rPr>
      </w:pPr>
      <w:r w:rsidRPr="00C57B7B">
        <w:rPr>
          <w:lang w:val="de-DE"/>
        </w:rPr>
        <w:t>Hexenverfolgung und Vivisektion</w:t>
      </w:r>
      <w:r w:rsidRPr="00C57B7B">
        <w:rPr>
          <w:rStyle w:val="FootnoteReference"/>
          <w:lang w:val="de-DE"/>
        </w:rPr>
        <w:footnoteReference w:id="1"/>
      </w:r>
    </w:p>
    <w:p w:rsidR="003457E3" w:rsidRPr="002F02C3" w:rsidRDefault="003457E3" w:rsidP="003457E3">
      <w:pPr>
        <w:pStyle w:val="bodytext"/>
        <w:jc w:val="both"/>
        <w:rPr>
          <w:sz w:val="22"/>
          <w:lang w:val="de-DE"/>
        </w:rPr>
      </w:pPr>
      <w:r w:rsidRPr="002F02C3">
        <w:rPr>
          <w:b/>
          <w:sz w:val="22"/>
          <w:lang w:val="de-DE"/>
        </w:rPr>
        <w:t>1) Vor ein paar hundert Jahren wurden Hunderttausende, vielleicht sogar Millionen von Frauen als angebliche</w:t>
      </w:r>
      <w:r w:rsidRPr="002F02C3">
        <w:rPr>
          <w:rStyle w:val="FootnoteReference"/>
          <w:b/>
          <w:sz w:val="22"/>
          <w:lang w:val="de-DE"/>
        </w:rPr>
        <w:footnoteReference w:id="2"/>
      </w:r>
      <w:r w:rsidRPr="002F02C3">
        <w:rPr>
          <w:b/>
          <w:sz w:val="22"/>
          <w:lang w:val="de-DE"/>
        </w:rPr>
        <w:t xml:space="preserve"> Hexen verbrannt. Dieser Massenmord wird heute als eines der übelsten Kapitel des Mittelalters angesehen. </w:t>
      </w:r>
    </w:p>
    <w:p w:rsidR="003457E3" w:rsidRPr="002F02C3" w:rsidRDefault="003457E3" w:rsidP="003457E3">
      <w:pPr>
        <w:pStyle w:val="bodytext"/>
        <w:spacing w:after="0"/>
        <w:jc w:val="both"/>
        <w:rPr>
          <w:sz w:val="22"/>
          <w:lang w:val="de-DE"/>
        </w:rPr>
      </w:pPr>
      <w:r w:rsidRPr="002F02C3">
        <w:rPr>
          <w:sz w:val="22"/>
          <w:lang w:val="de-DE"/>
        </w:rPr>
        <w:t>2) Die Denker der Scholastik</w:t>
      </w:r>
      <w:r w:rsidRPr="002F02C3">
        <w:rPr>
          <w:rStyle w:val="FootnoteReference"/>
          <w:sz w:val="22"/>
          <w:lang w:val="de-DE"/>
        </w:rPr>
        <w:footnoteReference w:id="3"/>
      </w:r>
      <w:r w:rsidRPr="002F02C3">
        <w:rPr>
          <w:sz w:val="22"/>
          <w:lang w:val="de-DE"/>
        </w:rPr>
        <w:t xml:space="preserve"> im 13. Jahrhundert waren damals zu der Erkenntnis gekommen, dass Teufel, Dämonen, Zauberer und Hexen real existierende Wesen seien. Niemand dachte daran, diese spitzfindigen Überlegungen </w:t>
      </w:r>
      <w:r w:rsidRPr="002F02C3">
        <w:rPr>
          <w:i/>
          <w:sz w:val="22"/>
          <w:u w:val="wave"/>
          <w:lang w:val="de-DE"/>
        </w:rPr>
        <w:t>anzuzweifeln</w:t>
      </w:r>
      <w:r w:rsidRPr="002F02C3">
        <w:rPr>
          <w:sz w:val="22"/>
          <w:lang w:val="de-DE"/>
        </w:rPr>
        <w:t xml:space="preserve">, denn sie </w:t>
      </w:r>
      <w:r w:rsidRPr="002F02C3">
        <w:rPr>
          <w:b/>
          <w:sz w:val="22"/>
          <w:lang w:val="de-DE"/>
        </w:rPr>
        <w:t>galten</w:t>
      </w:r>
      <w:r w:rsidRPr="002F02C3">
        <w:rPr>
          <w:sz w:val="22"/>
          <w:lang w:val="de-DE"/>
        </w:rPr>
        <w:t xml:space="preserve"> als streng wissenschaftliche Erkenntnisse. Bekannte Juristen der damaligen Zeit begründeten alle Grausamkeiten der Folter</w:t>
      </w:r>
      <w:r w:rsidRPr="002F02C3">
        <w:rPr>
          <w:rStyle w:val="FootnoteReference"/>
          <w:sz w:val="22"/>
          <w:lang w:val="de-DE"/>
        </w:rPr>
        <w:footnoteReference w:id="4"/>
      </w:r>
      <w:r w:rsidRPr="002F02C3">
        <w:rPr>
          <w:sz w:val="22"/>
          <w:lang w:val="de-DE"/>
        </w:rPr>
        <w:t xml:space="preserve"> damit, </w:t>
      </w:r>
      <w:r w:rsidRPr="002F02C3">
        <w:rPr>
          <w:i/>
          <w:sz w:val="22"/>
          <w:lang w:val="de-DE"/>
        </w:rPr>
        <w:t>dass der Teufel die Hexen gefühllos machte und sie gar keinen Schmerz verspüren könnten</w:t>
      </w:r>
      <w:r w:rsidRPr="002F02C3">
        <w:rPr>
          <w:sz w:val="22"/>
          <w:lang w:val="de-DE"/>
        </w:rPr>
        <w:t>. Gut drei Jahrhunderte hat sich der Hexenwahn</w:t>
      </w:r>
      <w:r w:rsidRPr="002F02C3">
        <w:rPr>
          <w:rStyle w:val="FootnoteReference"/>
          <w:sz w:val="22"/>
          <w:lang w:val="de-DE"/>
        </w:rPr>
        <w:footnoteReference w:id="5"/>
      </w:r>
      <w:r w:rsidRPr="002F02C3">
        <w:rPr>
          <w:sz w:val="22"/>
          <w:lang w:val="de-DE"/>
        </w:rPr>
        <w:t xml:space="preserve"> gehalten, fundiert durch "wissenschaftliche" Erkenntnisse, abgesegnet</w:t>
      </w:r>
      <w:r w:rsidRPr="002F02C3">
        <w:rPr>
          <w:rStyle w:val="FootnoteReference"/>
          <w:sz w:val="22"/>
          <w:lang w:val="de-DE"/>
        </w:rPr>
        <w:footnoteReference w:id="6"/>
      </w:r>
      <w:r w:rsidRPr="002F02C3">
        <w:rPr>
          <w:sz w:val="22"/>
          <w:lang w:val="de-DE"/>
        </w:rPr>
        <w:t xml:space="preserve"> von der Kirche, getragen vom Sendungsbewusstsein kirchlicher und weltlicher Institutionen, gestützt und gesichert durch Gesetze. </w:t>
      </w:r>
    </w:p>
    <w:p w:rsidR="003457E3" w:rsidRPr="002F02C3" w:rsidRDefault="003457E3" w:rsidP="003457E3">
      <w:pPr>
        <w:pStyle w:val="bodytext"/>
        <w:jc w:val="both"/>
        <w:rPr>
          <w:sz w:val="22"/>
          <w:lang w:val="de-DE"/>
        </w:rPr>
      </w:pPr>
      <w:r w:rsidRPr="002F02C3">
        <w:rPr>
          <w:sz w:val="22"/>
          <w:lang w:val="de-DE"/>
        </w:rPr>
        <w:t xml:space="preserve">3) Was hat all dies mit Vivisektion und Tierversuchen zu tun? Viel. Die mittelalterliche Wissenschaft war von der Notwendigkeit der Hexenverfolgung genauso überzeugt, wie die heutige Wissenschaft von der Notwendigkeit der Tierversuche überzeugt ist. </w:t>
      </w:r>
      <w:r w:rsidRPr="002F02C3">
        <w:rPr>
          <w:i/>
          <w:sz w:val="22"/>
          <w:lang w:val="de-DE"/>
        </w:rPr>
        <w:t>So sicher, wie die Gelehrten</w:t>
      </w:r>
      <w:r w:rsidRPr="002F02C3">
        <w:rPr>
          <w:rStyle w:val="FootnoteReference"/>
          <w:i/>
          <w:sz w:val="22"/>
          <w:lang w:val="de-DE"/>
        </w:rPr>
        <w:footnoteReference w:id="7"/>
      </w:r>
      <w:r w:rsidRPr="002F02C3">
        <w:rPr>
          <w:i/>
          <w:sz w:val="22"/>
          <w:lang w:val="de-DE"/>
        </w:rPr>
        <w:t xml:space="preserve"> der damaligen Zeit waren, </w:t>
      </w:r>
      <w:r w:rsidRPr="002F02C3">
        <w:rPr>
          <w:i/>
          <w:sz w:val="22"/>
          <w:lang w:val="de-DE"/>
        </w:rPr>
        <w:lastRenderedPageBreak/>
        <w:t xml:space="preserve">dass nur mit einer totalen Vernichtung der Hexen Krankheiten und </w:t>
      </w:r>
      <w:r w:rsidRPr="002F02C3">
        <w:rPr>
          <w:i/>
          <w:sz w:val="22"/>
          <w:u w:val="double"/>
          <w:lang w:val="de-DE"/>
        </w:rPr>
        <w:t>Seuchen</w:t>
      </w:r>
      <w:r w:rsidRPr="002F02C3">
        <w:rPr>
          <w:rStyle w:val="FootnoteReference"/>
          <w:i/>
          <w:sz w:val="22"/>
          <w:u w:val="double"/>
          <w:lang w:val="de-DE"/>
        </w:rPr>
        <w:footnoteReference w:id="8"/>
      </w:r>
      <w:r w:rsidRPr="002F02C3">
        <w:rPr>
          <w:i/>
          <w:sz w:val="22"/>
          <w:lang w:val="de-DE"/>
        </w:rPr>
        <w:t>, Hungersnöte und Naturkatastrophen, Tod und Elend vom Menschen abgewandt werden konnten, genauso sicher sind die Gelehrten der heutigen Zeit, dass Krankheiten und Epidemien, von Krebs bis AIDS, sich nur mit Tierversuchen beseitigen</w:t>
      </w:r>
      <w:r w:rsidRPr="002F02C3">
        <w:rPr>
          <w:rStyle w:val="FootnoteReference"/>
          <w:i/>
          <w:sz w:val="22"/>
          <w:lang w:val="de-DE"/>
        </w:rPr>
        <w:footnoteReference w:id="9"/>
      </w:r>
      <w:r w:rsidRPr="002F02C3">
        <w:rPr>
          <w:i/>
          <w:sz w:val="22"/>
          <w:lang w:val="de-DE"/>
        </w:rPr>
        <w:t xml:space="preserve"> lassen. </w:t>
      </w:r>
    </w:p>
    <w:p w:rsidR="003457E3" w:rsidRPr="002F02C3" w:rsidRDefault="003457E3" w:rsidP="003457E3">
      <w:pPr>
        <w:pStyle w:val="bodytext"/>
        <w:jc w:val="both"/>
        <w:rPr>
          <w:sz w:val="22"/>
          <w:lang w:val="de-DE"/>
        </w:rPr>
      </w:pPr>
      <w:r w:rsidRPr="002F02C3">
        <w:rPr>
          <w:sz w:val="22"/>
          <w:lang w:val="de-DE"/>
        </w:rPr>
        <w:t xml:space="preserve">4) Wer damals die Verfolgung der Hexen kritisierte oder störte, war ein </w:t>
      </w:r>
      <w:r w:rsidRPr="002F02C3">
        <w:rPr>
          <w:sz w:val="22"/>
          <w:u w:val="double"/>
          <w:lang w:val="de-DE"/>
        </w:rPr>
        <w:t>Ketzer</w:t>
      </w:r>
      <w:r w:rsidRPr="002F02C3">
        <w:rPr>
          <w:sz w:val="22"/>
          <w:lang w:val="de-DE"/>
        </w:rPr>
        <w:t xml:space="preserve"> oder Verächter der Menschen, der selbst mit dem Teufel im Bunde stand. Wer heute Tierversuche kritisiert, ist nach Meinung der offiziellen Wissenschaft entweder ein weltfremder Spinner</w:t>
      </w:r>
      <w:r w:rsidRPr="002F02C3">
        <w:rPr>
          <w:rStyle w:val="FootnoteReference"/>
          <w:sz w:val="22"/>
          <w:lang w:val="de-DE"/>
        </w:rPr>
        <w:footnoteReference w:id="10"/>
      </w:r>
      <w:r w:rsidRPr="002F02C3">
        <w:rPr>
          <w:sz w:val="22"/>
          <w:lang w:val="de-DE"/>
        </w:rPr>
        <w:t xml:space="preserve"> oder ein Menschenverächter, der den Fortschritt der Wissenschaft </w:t>
      </w:r>
      <w:r w:rsidRPr="002F02C3">
        <w:rPr>
          <w:b/>
          <w:sz w:val="22"/>
          <w:lang w:val="de-DE"/>
        </w:rPr>
        <w:t>aufhält</w:t>
      </w:r>
      <w:r w:rsidRPr="002F02C3">
        <w:rPr>
          <w:sz w:val="22"/>
          <w:lang w:val="de-DE"/>
        </w:rPr>
        <w:t xml:space="preserve"> und damit der Menschheit schadet. Dabei konnte bis heute die Notwendigkeit von Tierversuchen nicht in einem einzigen Fall ernsthaft bewiesen werden.</w:t>
      </w:r>
    </w:p>
    <w:p w:rsidR="003457E3" w:rsidRPr="002F02C3" w:rsidRDefault="003457E3" w:rsidP="003457E3">
      <w:pPr>
        <w:pStyle w:val="bodytext"/>
        <w:jc w:val="both"/>
        <w:rPr>
          <w:sz w:val="22"/>
          <w:lang w:val="de-DE"/>
        </w:rPr>
      </w:pPr>
      <w:r w:rsidRPr="002F02C3">
        <w:rPr>
          <w:sz w:val="22"/>
          <w:lang w:val="de-DE"/>
        </w:rPr>
        <w:t xml:space="preserve">5) Die Ähnlichkeiten zwischen Hexenprozess und Tierexperiment sind mehr als erschreckend! </w:t>
      </w:r>
    </w:p>
    <w:p w:rsidR="003457E3" w:rsidRPr="002F02C3" w:rsidRDefault="003457E3" w:rsidP="003457E3">
      <w:pPr>
        <w:pStyle w:val="bodytext"/>
        <w:jc w:val="both"/>
        <w:rPr>
          <w:sz w:val="22"/>
          <w:lang w:val="de-DE"/>
        </w:rPr>
      </w:pPr>
      <w:r w:rsidRPr="002F02C3">
        <w:rPr>
          <w:sz w:val="22"/>
          <w:lang w:val="de-DE"/>
        </w:rPr>
        <w:t xml:space="preserve">6) In beiden Fällen waren und sind die Täter Männer, die ihre sadistischen Gelüste als selbsternannte Helfer der Menschheit auslebten. </w:t>
      </w:r>
    </w:p>
    <w:p w:rsidR="003457E3" w:rsidRPr="002F02C3" w:rsidRDefault="003457E3" w:rsidP="003457E3">
      <w:pPr>
        <w:pStyle w:val="bodytext"/>
        <w:jc w:val="both"/>
        <w:rPr>
          <w:sz w:val="22"/>
          <w:lang w:val="de-DE"/>
        </w:rPr>
      </w:pPr>
      <w:r w:rsidRPr="002F02C3">
        <w:rPr>
          <w:sz w:val="22"/>
          <w:lang w:val="de-DE"/>
        </w:rPr>
        <w:t>7) Die Opfer sind Frauen und Tiere. Der Hexenmord betraf vor allem Außenseiterinnen</w:t>
      </w:r>
      <w:r w:rsidRPr="002F02C3">
        <w:rPr>
          <w:rStyle w:val="FootnoteReference"/>
          <w:sz w:val="22"/>
          <w:lang w:val="de-DE"/>
        </w:rPr>
        <w:footnoteReference w:id="11"/>
      </w:r>
      <w:r w:rsidRPr="002F02C3">
        <w:rPr>
          <w:sz w:val="22"/>
          <w:lang w:val="de-DE"/>
        </w:rPr>
        <w:t xml:space="preserve">, </w:t>
      </w:r>
      <w:r w:rsidRPr="002F02C3">
        <w:rPr>
          <w:sz w:val="22"/>
          <w:u w:val="single"/>
          <w:lang w:val="de-DE"/>
        </w:rPr>
        <w:t>Einzelgängerinnen</w:t>
      </w:r>
      <w:r w:rsidRPr="002F02C3">
        <w:rPr>
          <w:sz w:val="22"/>
          <w:lang w:val="de-DE"/>
        </w:rPr>
        <w:t xml:space="preserve">. Die Opfer der Vivisektion: Anfangs herrenlose "Straßenköter", freilaufende Katzen, heute vorwiegend "Ekeltiere" wie Mäuse und Ratten. Hingegen sind Tiere, die in das Nützlichkeitsdenken oder das ästhetische Schönheitsbild des Menschen passen, Tiere die im Schutz der Familie stehen, einigermaßen sicher. </w:t>
      </w:r>
    </w:p>
    <w:p w:rsidR="003457E3" w:rsidRPr="002F02C3" w:rsidRDefault="003457E3" w:rsidP="003457E3">
      <w:pPr>
        <w:pStyle w:val="bodytext"/>
        <w:spacing w:after="0"/>
        <w:jc w:val="both"/>
        <w:rPr>
          <w:sz w:val="22"/>
          <w:lang w:val="de-DE"/>
        </w:rPr>
      </w:pPr>
      <w:r w:rsidRPr="002F02C3">
        <w:rPr>
          <w:sz w:val="22"/>
          <w:lang w:val="de-DE"/>
        </w:rPr>
        <w:t xml:space="preserve">8) Die Folter: Die Anwendung </w:t>
      </w:r>
      <w:r w:rsidRPr="002F02C3">
        <w:rPr>
          <w:i/>
          <w:sz w:val="22"/>
          <w:lang w:val="de-DE"/>
        </w:rPr>
        <w:t>jeglicher</w:t>
      </w:r>
      <w:r w:rsidRPr="002F02C3">
        <w:rPr>
          <w:rStyle w:val="FootnoteReference"/>
          <w:i/>
          <w:sz w:val="22"/>
          <w:lang w:val="de-DE"/>
        </w:rPr>
        <w:footnoteReference w:id="12"/>
      </w:r>
      <w:r w:rsidRPr="002F02C3">
        <w:rPr>
          <w:i/>
          <w:sz w:val="22"/>
          <w:lang w:val="de-DE"/>
        </w:rPr>
        <w:t xml:space="preserve"> Folter</w:t>
      </w:r>
      <w:r w:rsidRPr="002F02C3">
        <w:rPr>
          <w:sz w:val="22"/>
          <w:lang w:val="de-DE"/>
        </w:rPr>
        <w:t xml:space="preserve"> war zulässig, weil die Hexe nach verbreiteter Ansicht durch den Teufel gefühllos gemacht worden war und keinen Schmerz verspüren konnte. Jegliche Verstümmelung</w:t>
      </w:r>
      <w:r w:rsidRPr="002F02C3">
        <w:rPr>
          <w:rStyle w:val="FootnoteReference"/>
          <w:sz w:val="22"/>
          <w:lang w:val="de-DE"/>
        </w:rPr>
        <w:footnoteReference w:id="13"/>
      </w:r>
      <w:r w:rsidRPr="002F02C3">
        <w:rPr>
          <w:sz w:val="22"/>
          <w:lang w:val="de-DE"/>
        </w:rPr>
        <w:t xml:space="preserve">, Vergiftung, Verstrahlung beim Tierversuch ist zulässig, weil das Tier möglichst narkotisiert ist, womit nach gängiger Ansicht das Problem Qual und Schmerz erledigt ist. </w:t>
      </w:r>
    </w:p>
    <w:p w:rsidR="003457E3" w:rsidRPr="002F02C3" w:rsidRDefault="003457E3" w:rsidP="003457E3">
      <w:pPr>
        <w:pStyle w:val="bodytext"/>
        <w:jc w:val="both"/>
        <w:rPr>
          <w:sz w:val="22"/>
          <w:lang w:val="de-DE"/>
        </w:rPr>
      </w:pPr>
      <w:r w:rsidRPr="002F02C3">
        <w:rPr>
          <w:sz w:val="22"/>
          <w:lang w:val="de-DE"/>
        </w:rPr>
        <w:t>9) Die Notwendigkeit: Bei der Verfolgung der Hexen herrschte ein breiter gesellschaftlicher Konsens</w:t>
      </w:r>
      <w:r w:rsidRPr="002F02C3">
        <w:rPr>
          <w:rStyle w:val="FootnoteReference"/>
          <w:sz w:val="22"/>
          <w:lang w:val="de-DE"/>
        </w:rPr>
        <w:footnoteReference w:id="14"/>
      </w:r>
      <w:r w:rsidRPr="002F02C3">
        <w:rPr>
          <w:sz w:val="22"/>
          <w:lang w:val="de-DE"/>
        </w:rPr>
        <w:t xml:space="preserve">, dass zur Abwendung größter Gefahr jedes Mittel, jede Folter </w:t>
      </w:r>
      <w:r w:rsidRPr="002F02C3">
        <w:rPr>
          <w:sz w:val="22"/>
          <w:u w:val="single"/>
          <w:lang w:val="de-DE"/>
        </w:rPr>
        <w:t>zulässig</w:t>
      </w:r>
      <w:r w:rsidRPr="002F02C3">
        <w:rPr>
          <w:sz w:val="22"/>
          <w:lang w:val="de-DE"/>
        </w:rPr>
        <w:t xml:space="preserve"> und notwendig wäre. Die Organisatoren der Hexenjagden waren selbst Opfer ihrer Hexenhysterie. Sie verbrannten die Frauen in der tiefen Überzeugung, auf dem richtigen Weg zu sein. Die Auffassung von der Notwendigkeit und Zulässigkeit der Tierexperimente wird gemeinsam von Wissenschaft und Industrie, von Kirche und Staat getragen und verbreitet. Kein Widerspruch von kirchlichen Autoritäten, keine juristischen Bedenken, keine moral-philosophischen Einwände, keine nennenswerten gesetzlichen Hürden</w:t>
      </w:r>
      <w:r w:rsidRPr="002F02C3">
        <w:rPr>
          <w:rStyle w:val="FootnoteReference"/>
          <w:sz w:val="22"/>
          <w:lang w:val="de-DE"/>
        </w:rPr>
        <w:footnoteReference w:id="15"/>
      </w:r>
      <w:r w:rsidRPr="002F02C3">
        <w:rPr>
          <w:sz w:val="22"/>
          <w:lang w:val="de-DE"/>
        </w:rPr>
        <w:t xml:space="preserve">. In den etablierten Kreisen unserer medizinischen Wissenschaftskultur wird kein zweifelnder Gedanke an die Frage der Richtigkeit und Zuverlässigkeit von millionenfachen Tieropfern verschwendet. Es wird nicht </w:t>
      </w:r>
      <w:r w:rsidRPr="002F02C3">
        <w:rPr>
          <w:b/>
          <w:sz w:val="22"/>
          <w:lang w:val="de-DE"/>
        </w:rPr>
        <w:t>hinterfragt</w:t>
      </w:r>
      <w:r w:rsidRPr="002F02C3">
        <w:rPr>
          <w:rStyle w:val="FootnoteReference"/>
          <w:sz w:val="22"/>
          <w:lang w:val="de-DE"/>
        </w:rPr>
        <w:footnoteReference w:id="16"/>
      </w:r>
      <w:r w:rsidRPr="002F02C3">
        <w:rPr>
          <w:sz w:val="22"/>
          <w:lang w:val="de-DE"/>
        </w:rPr>
        <w:t>, ob der eingeschlagene Weg nicht eine Sackgasse</w:t>
      </w:r>
      <w:r w:rsidRPr="002F02C3">
        <w:rPr>
          <w:rStyle w:val="FootnoteReference"/>
          <w:sz w:val="22"/>
          <w:lang w:val="de-DE"/>
        </w:rPr>
        <w:footnoteReference w:id="17"/>
      </w:r>
      <w:r w:rsidRPr="002F02C3">
        <w:rPr>
          <w:sz w:val="22"/>
          <w:lang w:val="de-DE"/>
        </w:rPr>
        <w:t xml:space="preserve"> ist. Es wird nicht über die Tatsache nachgedacht, dass die Menschen immer kränker werden, obwohl die Ausgaben für unser medizinisches Forschungssystem in astronomische Höhen </w:t>
      </w:r>
      <w:r w:rsidRPr="002F02C3">
        <w:rPr>
          <w:sz w:val="22"/>
          <w:u w:val="double"/>
          <w:lang w:val="de-DE"/>
        </w:rPr>
        <w:t>steigen</w:t>
      </w:r>
      <w:r w:rsidRPr="002F02C3">
        <w:rPr>
          <w:sz w:val="22"/>
          <w:lang w:val="de-DE"/>
        </w:rPr>
        <w:t xml:space="preserve">. </w:t>
      </w:r>
    </w:p>
    <w:p w:rsidR="003457E3" w:rsidRPr="002F02C3" w:rsidRDefault="003457E3" w:rsidP="003457E3">
      <w:pPr>
        <w:pStyle w:val="bodytext"/>
        <w:keepLines/>
        <w:jc w:val="both"/>
        <w:rPr>
          <w:sz w:val="22"/>
          <w:lang w:val="de-DE"/>
        </w:rPr>
      </w:pPr>
      <w:r w:rsidRPr="002F02C3">
        <w:rPr>
          <w:sz w:val="22"/>
          <w:lang w:val="de-DE"/>
        </w:rPr>
        <w:lastRenderedPageBreak/>
        <w:t>10) Die Rolle der Massen: Ihre berechtigte Lebensangst vor Hungersnöten, Epidemien, Naturgewalten, Krieg, fand ein Ventil, indem die Hexen als Verursacher allen Übels aufgestöbert und ausgerottet wurden. Die Einstellung der Bevölkerung zu den Qualen der Tierversuche: weitgehend Desinteresse</w:t>
      </w:r>
      <w:r w:rsidRPr="002F02C3">
        <w:rPr>
          <w:rStyle w:val="FootnoteReference"/>
          <w:sz w:val="22"/>
          <w:lang w:val="de-DE"/>
        </w:rPr>
        <w:footnoteReference w:id="18"/>
      </w:r>
      <w:r w:rsidRPr="002F02C3">
        <w:rPr>
          <w:sz w:val="22"/>
          <w:lang w:val="de-DE"/>
        </w:rPr>
        <w:t xml:space="preserve">. Tonnenweise Pillen, deren Entwicklung auf unermesslichem Leid von Abermillionen von Versuchstieren beruht, werden in der Hoffnung geschluckt, </w:t>
      </w:r>
      <w:r w:rsidRPr="002F02C3">
        <w:rPr>
          <w:i/>
          <w:sz w:val="22"/>
          <w:lang w:val="de-DE"/>
        </w:rPr>
        <w:t>dass man damit den Konsequenzen industrieller Tierproduktion</w:t>
      </w:r>
      <w:r w:rsidRPr="002F02C3">
        <w:rPr>
          <w:sz w:val="22"/>
          <w:lang w:val="de-DE"/>
        </w:rPr>
        <w:t xml:space="preserve">, </w:t>
      </w:r>
      <w:r w:rsidRPr="001543AD">
        <w:rPr>
          <w:sz w:val="22"/>
          <w:lang w:val="de-DE"/>
        </w:rPr>
        <w:t xml:space="preserve">einer auch für den Menschen ungesunden Lebensweise, </w:t>
      </w:r>
      <w:r w:rsidRPr="002F02C3">
        <w:rPr>
          <w:i/>
          <w:sz w:val="22"/>
          <w:lang w:val="de-DE"/>
        </w:rPr>
        <w:t>entgehen kann</w:t>
      </w:r>
      <w:r w:rsidRPr="002F02C3">
        <w:rPr>
          <w:sz w:val="22"/>
          <w:lang w:val="de-DE"/>
        </w:rPr>
        <w:t xml:space="preserve">. </w:t>
      </w:r>
    </w:p>
    <w:p w:rsidR="003457E3" w:rsidRPr="002F02C3" w:rsidRDefault="003457E3" w:rsidP="003457E3">
      <w:pPr>
        <w:pStyle w:val="bodytext"/>
        <w:jc w:val="both"/>
        <w:rPr>
          <w:sz w:val="22"/>
          <w:lang w:val="de-DE"/>
        </w:rPr>
      </w:pPr>
      <w:r w:rsidRPr="002F02C3">
        <w:rPr>
          <w:sz w:val="22"/>
          <w:lang w:val="de-DE"/>
        </w:rPr>
        <w:t>11) Die Folgen: Mit der Verfolgung der angeblichen Hexen, mit der Vernichtung der "weisen</w:t>
      </w:r>
      <w:r w:rsidRPr="002F02C3">
        <w:rPr>
          <w:rStyle w:val="FootnoteReference"/>
          <w:sz w:val="22"/>
          <w:lang w:val="de-DE"/>
        </w:rPr>
        <w:footnoteReference w:id="19"/>
      </w:r>
      <w:r w:rsidRPr="002F02C3">
        <w:rPr>
          <w:sz w:val="22"/>
          <w:lang w:val="de-DE"/>
        </w:rPr>
        <w:t xml:space="preserve"> Frauen", wurde ein enormer Erfahrungsschatz aus dem Bereich der Naturmedizin endgültig vernichtet. Die Folgen der tierexperimentellen Ideologie sind nicht weniger schlimm. Wichtige Ansätze von "sanften</w:t>
      </w:r>
      <w:r w:rsidRPr="002F02C3">
        <w:rPr>
          <w:rStyle w:val="FootnoteReference"/>
          <w:sz w:val="22"/>
          <w:lang w:val="de-DE"/>
        </w:rPr>
        <w:footnoteReference w:id="20"/>
      </w:r>
      <w:r w:rsidRPr="002F02C3">
        <w:rPr>
          <w:sz w:val="22"/>
          <w:lang w:val="de-DE"/>
        </w:rPr>
        <w:t>" Heilweisen</w:t>
      </w:r>
      <w:r w:rsidRPr="002F02C3">
        <w:rPr>
          <w:rStyle w:val="FootnoteReference"/>
          <w:sz w:val="22"/>
          <w:lang w:val="de-DE"/>
        </w:rPr>
        <w:footnoteReference w:id="21"/>
      </w:r>
      <w:r w:rsidRPr="002F02C3">
        <w:rPr>
          <w:sz w:val="22"/>
          <w:lang w:val="de-DE"/>
        </w:rPr>
        <w:t xml:space="preserve">, wie etwa im Bereich der Homöopathie, wurden von der modernen Medizin überrollt. </w:t>
      </w:r>
    </w:p>
    <w:p w:rsidR="003457E3" w:rsidRPr="002F02C3" w:rsidRDefault="003457E3" w:rsidP="003457E3">
      <w:pPr>
        <w:pStyle w:val="bodytext"/>
        <w:jc w:val="both"/>
        <w:rPr>
          <w:sz w:val="22"/>
          <w:lang w:val="de-DE"/>
        </w:rPr>
      </w:pPr>
      <w:r w:rsidRPr="002F02C3">
        <w:rPr>
          <w:sz w:val="22"/>
          <w:lang w:val="de-DE"/>
        </w:rPr>
        <w:t xml:space="preserve">12) Und da ist noch eine Parallele: Selbst die Tatsache, dass erste kritische Stimmen gegen die Hexenverfolgung nicht aus den Reihen der etablierten Wissenschaft oder Kirche, sondern von intellektuellen Einzelkämpfern kamen, hat frappierende Ähnlichkeiten mit der heutigen Vivisektionskritik. Die heutige Beurteilung dieser "Irrtümer" sollte zum Nachdenken darüber anregen, wie spätere Generationen unsere Zeit, das Zeitalter der Vivisektion, </w:t>
      </w:r>
      <w:r w:rsidRPr="002F02C3">
        <w:rPr>
          <w:i/>
          <w:sz w:val="22"/>
          <w:u w:val="wave"/>
          <w:lang w:val="de-DE"/>
        </w:rPr>
        <w:t>einschätzen</w:t>
      </w:r>
      <w:r w:rsidRPr="002F02C3">
        <w:rPr>
          <w:sz w:val="22"/>
          <w:lang w:val="de-DE"/>
        </w:rPr>
        <w:t xml:space="preserve"> werden. </w:t>
      </w:r>
    </w:p>
    <w:p w:rsidR="003457E3" w:rsidRPr="002F02C3" w:rsidRDefault="003457E3" w:rsidP="003457E3">
      <w:pPr>
        <w:pStyle w:val="bodytext"/>
        <w:rPr>
          <w:sz w:val="22"/>
          <w:lang w:val="de-DE"/>
        </w:rPr>
      </w:pPr>
      <w:r w:rsidRPr="002F02C3">
        <w:rPr>
          <w:i/>
          <w:sz w:val="22"/>
          <w:lang w:val="de-DE"/>
        </w:rPr>
        <w:t>Bernhard Rambeck, EMMA 1/1994</w:t>
      </w:r>
      <w:r w:rsidRPr="002F02C3">
        <w:rPr>
          <w:sz w:val="22"/>
          <w:lang w:val="de-DE"/>
        </w:rPr>
        <w:t xml:space="preserve"> </w:t>
      </w:r>
    </w:p>
    <w:p w:rsidR="003457E3" w:rsidRPr="002F02C3" w:rsidRDefault="003457E3" w:rsidP="003457E3">
      <w:pPr>
        <w:pStyle w:val="bodytext"/>
        <w:rPr>
          <w:sz w:val="22"/>
          <w:lang w:val="de-DE"/>
        </w:rPr>
      </w:pPr>
      <w:r w:rsidRPr="002F02C3">
        <w:rPr>
          <w:sz w:val="22"/>
          <w:lang w:val="de-DE"/>
        </w:rPr>
        <w:t>(Gekürzt und stellenweise vereinfacht)</w:t>
      </w:r>
    </w:p>
    <w:p w:rsidR="003457E3" w:rsidRPr="0023666B" w:rsidRDefault="003457E3" w:rsidP="003457E3">
      <w:pPr>
        <w:jc w:val="center"/>
        <w:rPr>
          <w:b/>
          <w:noProof/>
          <w:sz w:val="24"/>
          <w:szCs w:val="24"/>
          <w:lang w:val="de-DE"/>
        </w:rPr>
      </w:pPr>
    </w:p>
    <w:p w:rsidR="003457E3" w:rsidRPr="0023666B" w:rsidRDefault="003457E3" w:rsidP="003457E3">
      <w:pPr>
        <w:jc w:val="center"/>
        <w:rPr>
          <w:b/>
          <w:noProof/>
          <w:sz w:val="24"/>
          <w:szCs w:val="24"/>
          <w:lang w:val="de-DE"/>
        </w:rPr>
      </w:pPr>
    </w:p>
    <w:p w:rsidR="003457E3" w:rsidRPr="0023666B" w:rsidRDefault="003457E3" w:rsidP="003457E3">
      <w:pPr>
        <w:jc w:val="center"/>
        <w:rPr>
          <w:b/>
          <w:noProof/>
          <w:sz w:val="24"/>
          <w:szCs w:val="24"/>
          <w:lang w:val="de-DE"/>
        </w:rPr>
      </w:pPr>
      <w:r w:rsidRPr="0023666B">
        <w:rPr>
          <w:b/>
          <w:noProof/>
          <w:sz w:val="24"/>
          <w:szCs w:val="24"/>
          <w:lang w:val="de-DE"/>
        </w:rPr>
        <w:t>ENDE DES AUFGABENTEXTES!</w:t>
      </w:r>
    </w:p>
    <w:p w:rsidR="003457E3" w:rsidRPr="0023666B" w:rsidRDefault="003457E3" w:rsidP="003457E3">
      <w:pPr>
        <w:jc w:val="center"/>
        <w:rPr>
          <w:b/>
          <w:noProof/>
          <w:sz w:val="24"/>
          <w:szCs w:val="24"/>
          <w:lang w:val="de-DE"/>
        </w:rPr>
      </w:pPr>
    </w:p>
    <w:p w:rsidR="003457E3" w:rsidRPr="0023666B" w:rsidRDefault="003457E3" w:rsidP="003457E3">
      <w:pPr>
        <w:jc w:val="center"/>
        <w:rPr>
          <w:b/>
          <w:noProof/>
          <w:sz w:val="24"/>
          <w:szCs w:val="24"/>
          <w:lang w:val="de-DE"/>
        </w:rPr>
      </w:pPr>
    </w:p>
    <w:p w:rsidR="003457E3" w:rsidRPr="00052203" w:rsidRDefault="003457E3" w:rsidP="003457E3">
      <w:pPr>
        <w:jc w:val="center"/>
        <w:rPr>
          <w:noProof/>
          <w:sz w:val="24"/>
          <w:lang w:val="de-DE"/>
        </w:rPr>
      </w:pPr>
    </w:p>
    <w:p w:rsidR="000B3866" w:rsidRDefault="000B3866"/>
    <w:sectPr w:rsidR="000B3866" w:rsidSect="00E56A89">
      <w:headerReference w:type="default" r:id="rId8"/>
      <w:footerReference w:type="default" r:id="rId9"/>
      <w:pgSz w:w="11906" w:h="16838"/>
      <w:pgMar w:top="1134" w:right="1418" w:bottom="1134" w:left="1134" w:header="709"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FB5" w:rsidRDefault="00247FB5" w:rsidP="003457E3">
      <w:r>
        <w:separator/>
      </w:r>
    </w:p>
  </w:endnote>
  <w:endnote w:type="continuationSeparator" w:id="0">
    <w:p w:rsidR="00247FB5" w:rsidRDefault="00247FB5" w:rsidP="003457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B5" w:rsidRDefault="00247FB5">
    <w:pPr>
      <w:pStyle w:val="Footer"/>
      <w:jc w:val="right"/>
    </w:pPr>
    <w:r>
      <w:rPr>
        <w:snapToGrid w:val="0"/>
      </w:rPr>
      <w:t xml:space="preserve">Side </w:t>
    </w:r>
    <w:r w:rsidR="00C64869">
      <w:rPr>
        <w:snapToGrid w:val="0"/>
      </w:rPr>
      <w:fldChar w:fldCharType="begin"/>
    </w:r>
    <w:r>
      <w:rPr>
        <w:snapToGrid w:val="0"/>
      </w:rPr>
      <w:instrText xml:space="preserve"> PAGE </w:instrText>
    </w:r>
    <w:r w:rsidR="00C64869">
      <w:rPr>
        <w:snapToGrid w:val="0"/>
      </w:rPr>
      <w:fldChar w:fldCharType="separate"/>
    </w:r>
    <w:r w:rsidR="00FB3B6C">
      <w:rPr>
        <w:noProof/>
        <w:snapToGrid w:val="0"/>
      </w:rPr>
      <w:t>2</w:t>
    </w:r>
    <w:r w:rsidR="00C64869">
      <w:rPr>
        <w:snapToGrid w:val="0"/>
      </w:rPr>
      <w:fldChar w:fldCharType="end"/>
    </w:r>
    <w:r>
      <w:rPr>
        <w:snapToGrid w:val="0"/>
      </w:rPr>
      <w:t xml:space="preserve"> av </w:t>
    </w:r>
    <w:r w:rsidR="00C64869">
      <w:rPr>
        <w:snapToGrid w:val="0"/>
      </w:rPr>
      <w:fldChar w:fldCharType="begin"/>
    </w:r>
    <w:r>
      <w:rPr>
        <w:snapToGrid w:val="0"/>
      </w:rPr>
      <w:instrText xml:space="preserve"> NUMPAGES </w:instrText>
    </w:r>
    <w:r w:rsidR="00C64869">
      <w:rPr>
        <w:snapToGrid w:val="0"/>
      </w:rPr>
      <w:fldChar w:fldCharType="separate"/>
    </w:r>
    <w:r w:rsidR="00FB3B6C">
      <w:rPr>
        <w:noProof/>
        <w:snapToGrid w:val="0"/>
      </w:rPr>
      <w:t>4</w:t>
    </w:r>
    <w:r w:rsidR="00C64869">
      <w:rPr>
        <w:snapToGrid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FB5" w:rsidRDefault="00247FB5" w:rsidP="003457E3">
      <w:r>
        <w:separator/>
      </w:r>
    </w:p>
  </w:footnote>
  <w:footnote w:type="continuationSeparator" w:id="0">
    <w:p w:rsidR="00247FB5" w:rsidRDefault="00247FB5" w:rsidP="003457E3">
      <w:r>
        <w:continuationSeparator/>
      </w:r>
    </w:p>
  </w:footnote>
  <w:footnote w:id="1">
    <w:p w:rsidR="00247FB5" w:rsidRPr="00D53920" w:rsidRDefault="00247FB5" w:rsidP="003457E3">
      <w:pPr>
        <w:pStyle w:val="FootnoteText"/>
      </w:pPr>
      <w:r>
        <w:rPr>
          <w:rStyle w:val="FootnoteReference"/>
        </w:rPr>
        <w:footnoteRef/>
      </w:r>
      <w:r>
        <w:t xml:space="preserve"> </w:t>
      </w:r>
      <w:r>
        <w:rPr>
          <w:i/>
          <w:sz w:val="20"/>
        </w:rPr>
        <w:t>Vivis</w:t>
      </w:r>
      <w:r w:rsidRPr="002F02C3">
        <w:rPr>
          <w:i/>
          <w:sz w:val="20"/>
        </w:rPr>
        <w:t>ektion</w:t>
      </w:r>
      <w:r w:rsidRPr="002F02C3">
        <w:rPr>
          <w:sz w:val="20"/>
        </w:rPr>
        <w:t xml:space="preserve">: </w:t>
      </w:r>
      <w:r w:rsidRPr="002F02C3">
        <w:rPr>
          <w:b/>
          <w:sz w:val="20"/>
        </w:rPr>
        <w:t>Viviseksjon</w:t>
      </w:r>
      <w:r w:rsidRPr="002F02C3">
        <w:rPr>
          <w:sz w:val="20"/>
        </w:rPr>
        <w:t xml:space="preserve"> er </w:t>
      </w:r>
      <w:hyperlink r:id="rId1" w:history="1">
        <w:r w:rsidRPr="002F02C3">
          <w:rPr>
            <w:rStyle w:val="Hyperlink"/>
            <w:sz w:val="20"/>
          </w:rPr>
          <w:t>vit</w:t>
        </w:r>
        <w:r>
          <w:rPr>
            <w:rStyle w:val="Hyperlink"/>
            <w:sz w:val="20"/>
          </w:rPr>
          <w:t>skapele</w:t>
        </w:r>
        <w:r w:rsidRPr="002F02C3">
          <w:rPr>
            <w:rStyle w:val="Hyperlink"/>
            <w:sz w:val="20"/>
          </w:rPr>
          <w:t>ge</w:t>
        </w:r>
      </w:hyperlink>
      <w:r>
        <w:rPr>
          <w:sz w:val="20"/>
        </w:rPr>
        <w:t>, ofta</w:t>
      </w:r>
      <w:r w:rsidRPr="002F02C3">
        <w:rPr>
          <w:sz w:val="20"/>
        </w:rPr>
        <w:t xml:space="preserve">st </w:t>
      </w:r>
      <w:hyperlink r:id="rId2" w:history="1">
        <w:r w:rsidRPr="002F02C3">
          <w:rPr>
            <w:rStyle w:val="Hyperlink"/>
            <w:sz w:val="20"/>
          </w:rPr>
          <w:t>kirurgiske</w:t>
        </w:r>
      </w:hyperlink>
      <w:r w:rsidRPr="002F02C3">
        <w:rPr>
          <w:sz w:val="20"/>
        </w:rPr>
        <w:t xml:space="preserve"> inngrep på </w:t>
      </w:r>
      <w:hyperlink r:id="rId3" w:history="1">
        <w:r>
          <w:rPr>
            <w:rStyle w:val="Hyperlink"/>
            <w:sz w:val="20"/>
          </w:rPr>
          <w:t>leva</w:t>
        </w:r>
        <w:r w:rsidRPr="002F02C3">
          <w:rPr>
            <w:rStyle w:val="Hyperlink"/>
            <w:sz w:val="20"/>
          </w:rPr>
          <w:t>nde</w:t>
        </w:r>
      </w:hyperlink>
      <w:r w:rsidRPr="002F02C3">
        <w:rPr>
          <w:sz w:val="20"/>
        </w:rPr>
        <w:t xml:space="preserve"> </w:t>
      </w:r>
      <w:hyperlink r:id="rId4" w:history="1">
        <w:r w:rsidRPr="002F02C3">
          <w:rPr>
            <w:rStyle w:val="Hyperlink"/>
            <w:sz w:val="20"/>
          </w:rPr>
          <w:t>forsøksdyr</w:t>
        </w:r>
      </w:hyperlink>
      <w:r>
        <w:rPr>
          <w:sz w:val="20"/>
        </w:rPr>
        <w:t xml:space="preserve">. Slike inngrep vert gjort </w:t>
      </w:r>
      <w:r w:rsidRPr="002F02C3">
        <w:rPr>
          <w:sz w:val="20"/>
        </w:rPr>
        <w:t xml:space="preserve"> i medisinske </w:t>
      </w:r>
      <w:hyperlink r:id="rId5" w:history="1">
        <w:r w:rsidRPr="002F02C3">
          <w:rPr>
            <w:rStyle w:val="Hyperlink"/>
            <w:sz w:val="20"/>
          </w:rPr>
          <w:t>dyreforsøk</w:t>
        </w:r>
      </w:hyperlink>
      <w:r w:rsidRPr="002F02C3">
        <w:rPr>
          <w:sz w:val="20"/>
        </w:rPr>
        <w:t xml:space="preserve"> for </w:t>
      </w:r>
      <w:r>
        <w:rPr>
          <w:sz w:val="20"/>
        </w:rPr>
        <w:t>å finne ut til dømes  korleis dyr reagerer på ulike</w:t>
      </w:r>
      <w:r w:rsidRPr="002F02C3">
        <w:rPr>
          <w:sz w:val="20"/>
        </w:rPr>
        <w:t xml:space="preserve"> </w:t>
      </w:r>
      <w:hyperlink r:id="rId6" w:history="1">
        <w:r>
          <w:rPr>
            <w:rStyle w:val="Hyperlink"/>
            <w:sz w:val="20"/>
          </w:rPr>
          <w:t>bakterie</w:t>
        </w:r>
        <w:r w:rsidRPr="002F02C3">
          <w:rPr>
            <w:rStyle w:val="Hyperlink"/>
            <w:sz w:val="20"/>
          </w:rPr>
          <w:t>r</w:t>
        </w:r>
      </w:hyperlink>
      <w:r w:rsidRPr="002F02C3">
        <w:rPr>
          <w:sz w:val="20"/>
        </w:rPr>
        <w:t xml:space="preserve">, </w:t>
      </w:r>
      <w:hyperlink r:id="rId7" w:history="1">
        <w:r w:rsidRPr="002F02C3">
          <w:rPr>
            <w:rStyle w:val="Hyperlink"/>
            <w:sz w:val="20"/>
          </w:rPr>
          <w:t>medisiner</w:t>
        </w:r>
      </w:hyperlink>
      <w:r w:rsidRPr="002F02C3">
        <w:rPr>
          <w:sz w:val="20"/>
        </w:rPr>
        <w:t xml:space="preserve"> eller </w:t>
      </w:r>
      <w:hyperlink r:id="rId8" w:history="1">
        <w:r w:rsidRPr="002F02C3">
          <w:rPr>
            <w:rStyle w:val="Hyperlink"/>
            <w:sz w:val="20"/>
          </w:rPr>
          <w:t>gift</w:t>
        </w:r>
      </w:hyperlink>
      <w:r w:rsidRPr="002F02C3">
        <w:rPr>
          <w:sz w:val="20"/>
        </w:rPr>
        <w:t>.</w:t>
      </w:r>
      <w:r w:rsidRPr="002F02C3">
        <w:t xml:space="preserve"> </w:t>
      </w:r>
      <w:r w:rsidRPr="002F02C3">
        <w:rPr>
          <w:sz w:val="20"/>
        </w:rPr>
        <w:t>(Norsk Wikipedia)</w:t>
      </w:r>
    </w:p>
  </w:footnote>
  <w:footnote w:id="2">
    <w:p w:rsidR="00247FB5" w:rsidRPr="00D53920" w:rsidRDefault="00247FB5" w:rsidP="003457E3">
      <w:pPr>
        <w:pStyle w:val="FootnoteText"/>
        <w:rPr>
          <w:sz w:val="20"/>
        </w:rPr>
      </w:pPr>
      <w:r w:rsidRPr="00D53920">
        <w:rPr>
          <w:rStyle w:val="FootnoteReference"/>
          <w:sz w:val="22"/>
        </w:rPr>
        <w:footnoteRef/>
      </w:r>
      <w:r w:rsidRPr="00D53920">
        <w:rPr>
          <w:sz w:val="22"/>
        </w:rPr>
        <w:t xml:space="preserve"> </w:t>
      </w:r>
      <w:r w:rsidRPr="00D53920">
        <w:rPr>
          <w:i/>
          <w:sz w:val="20"/>
        </w:rPr>
        <w:t>angeblich</w:t>
      </w:r>
      <w:r w:rsidRPr="00D53920">
        <w:rPr>
          <w:sz w:val="20"/>
        </w:rPr>
        <w:t xml:space="preserve"> (</w:t>
      </w:r>
      <w:r>
        <w:rPr>
          <w:sz w:val="20"/>
        </w:rPr>
        <w:t>Adjektiv): no. påstått, angiveli</w:t>
      </w:r>
      <w:r w:rsidRPr="00D53920">
        <w:rPr>
          <w:sz w:val="20"/>
        </w:rPr>
        <w:t>g</w:t>
      </w:r>
    </w:p>
  </w:footnote>
  <w:footnote w:id="3">
    <w:p w:rsidR="00247FB5" w:rsidRPr="002F02C3" w:rsidRDefault="00247FB5" w:rsidP="003457E3">
      <w:pPr>
        <w:pStyle w:val="FootnoteText"/>
        <w:rPr>
          <w:sz w:val="20"/>
        </w:rPr>
      </w:pPr>
      <w:r w:rsidRPr="00D53920">
        <w:rPr>
          <w:rStyle w:val="FootnoteReference"/>
          <w:sz w:val="20"/>
        </w:rPr>
        <w:footnoteRef/>
      </w:r>
      <w:r w:rsidRPr="00D53920">
        <w:rPr>
          <w:sz w:val="20"/>
        </w:rPr>
        <w:t xml:space="preserve"> </w:t>
      </w:r>
      <w:r w:rsidRPr="002F02C3">
        <w:rPr>
          <w:i/>
          <w:sz w:val="20"/>
        </w:rPr>
        <w:t xml:space="preserve">die </w:t>
      </w:r>
      <w:r w:rsidRPr="00D53920">
        <w:rPr>
          <w:i/>
          <w:sz w:val="20"/>
        </w:rPr>
        <w:t>Scholastik</w:t>
      </w:r>
      <w:r w:rsidRPr="00D53920">
        <w:rPr>
          <w:sz w:val="20"/>
        </w:rPr>
        <w:t xml:space="preserve">: </w:t>
      </w:r>
      <w:r w:rsidRPr="002F02C3">
        <w:rPr>
          <w:b/>
          <w:sz w:val="20"/>
        </w:rPr>
        <w:t>Skolastikken</w:t>
      </w:r>
      <w:r w:rsidRPr="002F02C3">
        <w:rPr>
          <w:sz w:val="20"/>
        </w:rPr>
        <w:t xml:space="preserve"> var e</w:t>
      </w:r>
      <w:r>
        <w:rPr>
          <w:sz w:val="20"/>
        </w:rPr>
        <w:t>i</w:t>
      </w:r>
      <w:r w:rsidRPr="002F02C3">
        <w:rPr>
          <w:sz w:val="20"/>
        </w:rPr>
        <w:t xml:space="preserve">n </w:t>
      </w:r>
      <w:hyperlink r:id="rId9" w:history="1">
        <w:r w:rsidRPr="002F02C3">
          <w:rPr>
            <w:rStyle w:val="Hyperlink"/>
            <w:sz w:val="20"/>
          </w:rPr>
          <w:t>teologisk</w:t>
        </w:r>
      </w:hyperlink>
      <w:r w:rsidRPr="002F02C3">
        <w:rPr>
          <w:sz w:val="20"/>
        </w:rPr>
        <w:t xml:space="preserve"> og </w:t>
      </w:r>
      <w:hyperlink r:id="rId10" w:history="1">
        <w:r w:rsidRPr="002F02C3">
          <w:rPr>
            <w:rStyle w:val="Hyperlink"/>
            <w:sz w:val="20"/>
          </w:rPr>
          <w:t>filosofisk</w:t>
        </w:r>
      </w:hyperlink>
      <w:r>
        <w:rPr>
          <w:sz w:val="20"/>
        </w:rPr>
        <w:t xml:space="preserve"> vit</w:t>
      </w:r>
      <w:r w:rsidRPr="002F02C3">
        <w:rPr>
          <w:sz w:val="20"/>
        </w:rPr>
        <w:t xml:space="preserve">skap i </w:t>
      </w:r>
      <w:hyperlink r:id="rId11" w:history="1">
        <w:r>
          <w:rPr>
            <w:rStyle w:val="Hyperlink"/>
            <w:sz w:val="20"/>
          </w:rPr>
          <w:t>mel</w:t>
        </w:r>
        <w:r w:rsidR="00821229">
          <w:rPr>
            <w:rStyle w:val="Hyperlink"/>
            <w:sz w:val="20"/>
          </w:rPr>
          <w:t>l</w:t>
        </w:r>
        <w:r>
          <w:rPr>
            <w:rStyle w:val="Hyperlink"/>
            <w:sz w:val="20"/>
          </w:rPr>
          <w:t>om</w:t>
        </w:r>
        <w:r w:rsidRPr="002F02C3">
          <w:rPr>
            <w:rStyle w:val="Hyperlink"/>
            <w:sz w:val="20"/>
          </w:rPr>
          <w:t>alderen</w:t>
        </w:r>
      </w:hyperlink>
      <w:r>
        <w:rPr>
          <w:sz w:val="20"/>
        </w:rPr>
        <w:t xml:space="preserve"> som prøvde å systematisere truslæra</w:t>
      </w:r>
      <w:r w:rsidRPr="002F02C3">
        <w:rPr>
          <w:sz w:val="20"/>
        </w:rPr>
        <w:t xml:space="preserve"> ved hjelp av </w:t>
      </w:r>
      <w:hyperlink r:id="rId12" w:history="1">
        <w:r w:rsidRPr="002F02C3">
          <w:rPr>
            <w:rStyle w:val="Hyperlink"/>
            <w:sz w:val="20"/>
          </w:rPr>
          <w:t>Aristoteles</w:t>
        </w:r>
      </w:hyperlink>
      <w:r>
        <w:rPr>
          <w:sz w:val="20"/>
        </w:rPr>
        <w:t xml:space="preserve"> sin</w:t>
      </w:r>
      <w:r w:rsidRPr="002F02C3">
        <w:rPr>
          <w:sz w:val="20"/>
        </w:rPr>
        <w:t xml:space="preserve"> logikk. (Norsk Wikipedia)</w:t>
      </w:r>
    </w:p>
  </w:footnote>
  <w:footnote w:id="4">
    <w:p w:rsidR="00247FB5" w:rsidRPr="00D53920" w:rsidRDefault="00247FB5" w:rsidP="003457E3">
      <w:pPr>
        <w:pStyle w:val="FootnoteText"/>
        <w:rPr>
          <w:sz w:val="20"/>
        </w:rPr>
      </w:pPr>
      <w:r w:rsidRPr="00D53920">
        <w:rPr>
          <w:rStyle w:val="FootnoteReference"/>
          <w:sz w:val="20"/>
        </w:rPr>
        <w:footnoteRef/>
      </w:r>
      <w:r w:rsidRPr="00D53920">
        <w:rPr>
          <w:sz w:val="20"/>
        </w:rPr>
        <w:t xml:space="preserve"> </w:t>
      </w:r>
      <w:r w:rsidRPr="00D53920">
        <w:rPr>
          <w:i/>
          <w:sz w:val="20"/>
        </w:rPr>
        <w:t>Folter</w:t>
      </w:r>
      <w:r w:rsidRPr="00D53920">
        <w:rPr>
          <w:sz w:val="20"/>
        </w:rPr>
        <w:t>: no. tortur</w:t>
      </w:r>
    </w:p>
  </w:footnote>
  <w:footnote w:id="5">
    <w:p w:rsidR="00247FB5" w:rsidRPr="00D53920" w:rsidRDefault="00247FB5" w:rsidP="003457E3">
      <w:pPr>
        <w:pStyle w:val="FootnoteText"/>
        <w:rPr>
          <w:sz w:val="20"/>
        </w:rPr>
      </w:pPr>
      <w:r w:rsidRPr="00D53920">
        <w:rPr>
          <w:rStyle w:val="FootnoteReference"/>
          <w:sz w:val="20"/>
        </w:rPr>
        <w:footnoteRef/>
      </w:r>
      <w:r w:rsidRPr="00D53920">
        <w:rPr>
          <w:sz w:val="20"/>
        </w:rPr>
        <w:t xml:space="preserve"> </w:t>
      </w:r>
      <w:r w:rsidRPr="00D53920">
        <w:rPr>
          <w:i/>
          <w:sz w:val="20"/>
        </w:rPr>
        <w:t>Wahn</w:t>
      </w:r>
      <w:r>
        <w:rPr>
          <w:sz w:val="20"/>
        </w:rPr>
        <w:t>: no. villfaring, innbiln</w:t>
      </w:r>
      <w:r w:rsidRPr="00D53920">
        <w:rPr>
          <w:sz w:val="20"/>
        </w:rPr>
        <w:t xml:space="preserve">ing  </w:t>
      </w:r>
    </w:p>
  </w:footnote>
  <w:footnote w:id="6">
    <w:p w:rsidR="00247FB5" w:rsidRPr="00D53920" w:rsidRDefault="00247FB5" w:rsidP="003457E3">
      <w:pPr>
        <w:pStyle w:val="FootnoteText"/>
        <w:rPr>
          <w:sz w:val="22"/>
        </w:rPr>
      </w:pPr>
      <w:r w:rsidRPr="00D53920">
        <w:rPr>
          <w:rStyle w:val="FootnoteReference"/>
          <w:sz w:val="20"/>
        </w:rPr>
        <w:footnoteRef/>
      </w:r>
      <w:r w:rsidRPr="00D53920">
        <w:rPr>
          <w:sz w:val="20"/>
        </w:rPr>
        <w:t xml:space="preserve"> </w:t>
      </w:r>
      <w:r w:rsidRPr="00D53920">
        <w:rPr>
          <w:i/>
          <w:sz w:val="20"/>
        </w:rPr>
        <w:t>abgesegnet</w:t>
      </w:r>
      <w:r>
        <w:rPr>
          <w:sz w:val="20"/>
        </w:rPr>
        <w:t>: no. velsigna</w:t>
      </w:r>
    </w:p>
  </w:footnote>
  <w:footnote w:id="7">
    <w:p w:rsidR="00247FB5" w:rsidRPr="00D53920" w:rsidRDefault="00247FB5" w:rsidP="003457E3">
      <w:pPr>
        <w:pStyle w:val="FootnoteText"/>
      </w:pPr>
      <w:r w:rsidRPr="00D53920">
        <w:rPr>
          <w:rStyle w:val="FootnoteReference"/>
        </w:rPr>
        <w:footnoteRef/>
      </w:r>
      <w:r w:rsidRPr="00D53920">
        <w:t xml:space="preserve"> </w:t>
      </w:r>
      <w:r w:rsidRPr="00D53920">
        <w:rPr>
          <w:i/>
          <w:sz w:val="20"/>
        </w:rPr>
        <w:t>die Gelehrten</w:t>
      </w:r>
      <w:r w:rsidRPr="00D53920">
        <w:rPr>
          <w:sz w:val="20"/>
        </w:rPr>
        <w:t>: no. de</w:t>
      </w:r>
      <w:r>
        <w:rPr>
          <w:sz w:val="20"/>
        </w:rPr>
        <w:t>i</w:t>
      </w:r>
      <w:r w:rsidRPr="00D53920">
        <w:rPr>
          <w:sz w:val="20"/>
        </w:rPr>
        <w:t xml:space="preserve"> lærde</w:t>
      </w:r>
    </w:p>
  </w:footnote>
  <w:footnote w:id="8">
    <w:p w:rsidR="00247FB5" w:rsidRDefault="00247FB5" w:rsidP="003457E3">
      <w:pPr>
        <w:pStyle w:val="FootnoteText"/>
      </w:pPr>
      <w:r>
        <w:rPr>
          <w:rStyle w:val="FootnoteReference"/>
        </w:rPr>
        <w:footnoteRef/>
      </w:r>
      <w:r>
        <w:t xml:space="preserve"> </w:t>
      </w:r>
      <w:r w:rsidRPr="002F02C3">
        <w:rPr>
          <w:i/>
          <w:sz w:val="20"/>
        </w:rPr>
        <w:t>Seuche</w:t>
      </w:r>
      <w:r w:rsidRPr="002F02C3">
        <w:rPr>
          <w:sz w:val="20"/>
        </w:rPr>
        <w:t>: no. epidemi</w:t>
      </w:r>
    </w:p>
  </w:footnote>
  <w:footnote w:id="9">
    <w:p w:rsidR="00247FB5" w:rsidRDefault="00247FB5" w:rsidP="003457E3">
      <w:pPr>
        <w:pStyle w:val="FootnoteText"/>
      </w:pPr>
      <w:r>
        <w:rPr>
          <w:rStyle w:val="FootnoteReference"/>
        </w:rPr>
        <w:footnoteRef/>
      </w:r>
      <w:r>
        <w:t xml:space="preserve"> </w:t>
      </w:r>
      <w:r w:rsidRPr="00E7651D">
        <w:rPr>
          <w:i/>
          <w:sz w:val="20"/>
        </w:rPr>
        <w:t>beseitigen</w:t>
      </w:r>
      <w:r w:rsidRPr="00E7651D">
        <w:rPr>
          <w:sz w:val="20"/>
        </w:rPr>
        <w:t>: no. fjerne, få til å forsvinne</w:t>
      </w:r>
    </w:p>
  </w:footnote>
  <w:footnote w:id="10">
    <w:p w:rsidR="00247FB5" w:rsidRPr="001543AD" w:rsidRDefault="00247FB5" w:rsidP="003457E3">
      <w:pPr>
        <w:pStyle w:val="FootnoteText"/>
        <w:rPr>
          <w:sz w:val="20"/>
          <w:lang w:val="en-US"/>
        </w:rPr>
      </w:pPr>
      <w:r w:rsidRPr="00D53920">
        <w:rPr>
          <w:rStyle w:val="FootnoteReference"/>
          <w:sz w:val="20"/>
        </w:rPr>
        <w:footnoteRef/>
      </w:r>
      <w:r w:rsidRPr="001543AD">
        <w:rPr>
          <w:sz w:val="20"/>
          <w:lang w:val="en-US"/>
        </w:rPr>
        <w:t xml:space="preserve"> </w:t>
      </w:r>
      <w:r w:rsidRPr="001543AD">
        <w:rPr>
          <w:i/>
          <w:sz w:val="20"/>
          <w:lang w:val="en-US"/>
        </w:rPr>
        <w:t>Spinner</w:t>
      </w:r>
      <w:r>
        <w:rPr>
          <w:sz w:val="20"/>
          <w:lang w:val="en-US"/>
        </w:rPr>
        <w:t>: no. sær</w:t>
      </w:r>
      <w:r w:rsidRPr="001543AD">
        <w:rPr>
          <w:sz w:val="20"/>
          <w:lang w:val="en-US"/>
        </w:rPr>
        <w:t>ing</w:t>
      </w:r>
    </w:p>
  </w:footnote>
  <w:footnote w:id="11">
    <w:p w:rsidR="00247FB5" w:rsidRPr="001543AD" w:rsidRDefault="00247FB5" w:rsidP="003457E3">
      <w:pPr>
        <w:pStyle w:val="FootnoteText"/>
        <w:rPr>
          <w:lang w:val="en-US"/>
        </w:rPr>
      </w:pPr>
      <w:r>
        <w:rPr>
          <w:rStyle w:val="FootnoteReference"/>
        </w:rPr>
        <w:footnoteRef/>
      </w:r>
      <w:r w:rsidRPr="001543AD">
        <w:rPr>
          <w:lang w:val="en-US"/>
        </w:rPr>
        <w:t xml:space="preserve"> </w:t>
      </w:r>
      <w:r w:rsidRPr="001543AD">
        <w:rPr>
          <w:i/>
          <w:sz w:val="20"/>
          <w:lang w:val="en-US"/>
        </w:rPr>
        <w:t>Außenseiter</w:t>
      </w:r>
      <w:r w:rsidRPr="001543AD">
        <w:rPr>
          <w:sz w:val="20"/>
          <w:lang w:val="en-US"/>
        </w:rPr>
        <w:t>: no. outsider</w:t>
      </w:r>
    </w:p>
  </w:footnote>
  <w:footnote w:id="12">
    <w:p w:rsidR="00247FB5" w:rsidRDefault="00247FB5" w:rsidP="003457E3">
      <w:pPr>
        <w:pStyle w:val="FootnoteText"/>
      </w:pPr>
      <w:r>
        <w:rPr>
          <w:rStyle w:val="FootnoteReference"/>
        </w:rPr>
        <w:footnoteRef/>
      </w:r>
      <w:r>
        <w:t xml:space="preserve"> </w:t>
      </w:r>
      <w:r w:rsidRPr="00D53920">
        <w:rPr>
          <w:i/>
          <w:sz w:val="20"/>
        </w:rPr>
        <w:t>jeglich</w:t>
      </w:r>
      <w:r>
        <w:rPr>
          <w:sz w:val="20"/>
        </w:rPr>
        <w:t xml:space="preserve">-: no. </w:t>
      </w:r>
      <w:r w:rsidRPr="00D53920">
        <w:rPr>
          <w:sz w:val="20"/>
        </w:rPr>
        <w:t xml:space="preserve"> </w:t>
      </w:r>
      <w:r>
        <w:rPr>
          <w:sz w:val="20"/>
        </w:rPr>
        <w:t xml:space="preserve">Kva </w:t>
      </w:r>
      <w:r w:rsidRPr="00D53920">
        <w:rPr>
          <w:sz w:val="20"/>
        </w:rPr>
        <w:t>som helst</w:t>
      </w:r>
      <w:r>
        <w:rPr>
          <w:sz w:val="20"/>
        </w:rPr>
        <w:t xml:space="preserve">/ alle typar; vert bøydd </w:t>
      </w:r>
      <w:r w:rsidRPr="00D53920">
        <w:rPr>
          <w:sz w:val="20"/>
        </w:rPr>
        <w:t xml:space="preserve"> som </w:t>
      </w:r>
      <w:r w:rsidRPr="00D53920">
        <w:rPr>
          <w:i/>
          <w:sz w:val="20"/>
        </w:rPr>
        <w:t>jeder/jede/jedes</w:t>
      </w:r>
    </w:p>
  </w:footnote>
  <w:footnote w:id="13">
    <w:p w:rsidR="00247FB5" w:rsidRPr="00D53920" w:rsidRDefault="00247FB5" w:rsidP="003457E3">
      <w:pPr>
        <w:pStyle w:val="FootnoteText"/>
        <w:rPr>
          <w:sz w:val="20"/>
        </w:rPr>
      </w:pPr>
      <w:r w:rsidRPr="00D53920">
        <w:rPr>
          <w:rStyle w:val="FootnoteReference"/>
          <w:sz w:val="20"/>
        </w:rPr>
        <w:footnoteRef/>
      </w:r>
      <w:r w:rsidRPr="00D53920">
        <w:rPr>
          <w:sz w:val="20"/>
        </w:rPr>
        <w:t xml:space="preserve"> </w:t>
      </w:r>
      <w:r w:rsidRPr="00D53920">
        <w:rPr>
          <w:i/>
          <w:sz w:val="20"/>
        </w:rPr>
        <w:t>Verstümmelung</w:t>
      </w:r>
      <w:r>
        <w:rPr>
          <w:sz w:val="20"/>
        </w:rPr>
        <w:t>: no. lemlesting</w:t>
      </w:r>
    </w:p>
  </w:footnote>
  <w:footnote w:id="14">
    <w:p w:rsidR="00247FB5" w:rsidRPr="00D53920" w:rsidRDefault="00247FB5" w:rsidP="003457E3">
      <w:pPr>
        <w:pStyle w:val="FootnoteText"/>
        <w:rPr>
          <w:sz w:val="20"/>
        </w:rPr>
      </w:pPr>
      <w:r w:rsidRPr="00D53920">
        <w:rPr>
          <w:rStyle w:val="FootnoteReference"/>
          <w:sz w:val="20"/>
        </w:rPr>
        <w:footnoteRef/>
      </w:r>
      <w:r w:rsidRPr="00D53920">
        <w:rPr>
          <w:sz w:val="20"/>
        </w:rPr>
        <w:t xml:space="preserve"> </w:t>
      </w:r>
      <w:r w:rsidRPr="00D53920">
        <w:rPr>
          <w:i/>
          <w:sz w:val="20"/>
        </w:rPr>
        <w:t>Konsens</w:t>
      </w:r>
      <w:r>
        <w:rPr>
          <w:sz w:val="20"/>
        </w:rPr>
        <w:t>: no. semje</w:t>
      </w:r>
    </w:p>
  </w:footnote>
  <w:footnote w:id="15">
    <w:p w:rsidR="00247FB5" w:rsidRDefault="00247FB5" w:rsidP="003457E3">
      <w:pPr>
        <w:pStyle w:val="FootnoteText"/>
      </w:pPr>
      <w:r>
        <w:rPr>
          <w:rStyle w:val="FootnoteReference"/>
        </w:rPr>
        <w:footnoteRef/>
      </w:r>
      <w:r>
        <w:t xml:space="preserve"> </w:t>
      </w:r>
      <w:r w:rsidRPr="00E7651D">
        <w:rPr>
          <w:i/>
          <w:sz w:val="20"/>
        </w:rPr>
        <w:t>Hürde</w:t>
      </w:r>
      <w:r>
        <w:rPr>
          <w:sz w:val="20"/>
        </w:rPr>
        <w:t xml:space="preserve">: </w:t>
      </w:r>
      <w:r w:rsidRPr="00E7651D">
        <w:rPr>
          <w:sz w:val="20"/>
        </w:rPr>
        <w:t>hindring</w:t>
      </w:r>
    </w:p>
  </w:footnote>
  <w:footnote w:id="16">
    <w:p w:rsidR="00247FB5" w:rsidRDefault="00247FB5" w:rsidP="003457E3">
      <w:pPr>
        <w:pStyle w:val="FootnoteText"/>
      </w:pPr>
      <w:r>
        <w:rPr>
          <w:rStyle w:val="FootnoteReference"/>
        </w:rPr>
        <w:footnoteRef/>
      </w:r>
      <w:r>
        <w:t xml:space="preserve"> </w:t>
      </w:r>
      <w:r w:rsidRPr="00E7651D">
        <w:rPr>
          <w:i/>
          <w:sz w:val="20"/>
        </w:rPr>
        <w:t>hinterfragen</w:t>
      </w:r>
      <w:r w:rsidRPr="00D53920">
        <w:rPr>
          <w:sz w:val="20"/>
        </w:rPr>
        <w:t xml:space="preserve">: </w:t>
      </w:r>
      <w:r>
        <w:rPr>
          <w:sz w:val="20"/>
        </w:rPr>
        <w:t>spørj</w:t>
      </w:r>
      <w:r w:rsidRPr="00E7651D">
        <w:rPr>
          <w:sz w:val="20"/>
        </w:rPr>
        <w:t>e, sette spørsmål ved</w:t>
      </w:r>
      <w:r>
        <w:t xml:space="preserve"> </w:t>
      </w:r>
    </w:p>
  </w:footnote>
  <w:footnote w:id="17">
    <w:p w:rsidR="00247FB5" w:rsidRPr="00D53920" w:rsidRDefault="00247FB5" w:rsidP="003457E3">
      <w:pPr>
        <w:pStyle w:val="FootnoteText"/>
        <w:rPr>
          <w:sz w:val="20"/>
        </w:rPr>
      </w:pPr>
      <w:r w:rsidRPr="00D53920">
        <w:rPr>
          <w:rStyle w:val="FootnoteReference"/>
          <w:sz w:val="20"/>
        </w:rPr>
        <w:footnoteRef/>
      </w:r>
      <w:r w:rsidRPr="00D53920">
        <w:rPr>
          <w:sz w:val="20"/>
        </w:rPr>
        <w:t xml:space="preserve"> </w:t>
      </w:r>
      <w:r w:rsidRPr="00D53920">
        <w:rPr>
          <w:i/>
          <w:sz w:val="20"/>
        </w:rPr>
        <w:t>Sackgasse</w:t>
      </w:r>
      <w:r w:rsidRPr="00D53920">
        <w:rPr>
          <w:sz w:val="20"/>
        </w:rPr>
        <w:t>: blindgate</w:t>
      </w:r>
    </w:p>
  </w:footnote>
  <w:footnote w:id="18">
    <w:p w:rsidR="00247FB5" w:rsidRPr="00D53920" w:rsidRDefault="00247FB5" w:rsidP="003457E3">
      <w:pPr>
        <w:pStyle w:val="FootnoteText"/>
        <w:rPr>
          <w:sz w:val="20"/>
        </w:rPr>
      </w:pPr>
      <w:r w:rsidRPr="00D53920">
        <w:rPr>
          <w:rStyle w:val="FootnoteReference"/>
          <w:sz w:val="20"/>
        </w:rPr>
        <w:footnoteRef/>
      </w:r>
      <w:r w:rsidRPr="00D53920">
        <w:rPr>
          <w:sz w:val="20"/>
        </w:rPr>
        <w:t xml:space="preserve"> </w:t>
      </w:r>
      <w:r w:rsidRPr="00D53920">
        <w:rPr>
          <w:i/>
          <w:sz w:val="20"/>
        </w:rPr>
        <w:t>Desinteresse</w:t>
      </w:r>
      <w:r w:rsidRPr="00D53920">
        <w:rPr>
          <w:sz w:val="20"/>
        </w:rPr>
        <w:t>: Mangel an Interesse</w:t>
      </w:r>
    </w:p>
  </w:footnote>
  <w:footnote w:id="19">
    <w:p w:rsidR="00247FB5" w:rsidRPr="00E7651D" w:rsidRDefault="00247FB5" w:rsidP="003457E3">
      <w:pPr>
        <w:pStyle w:val="FootnoteText"/>
        <w:rPr>
          <w:sz w:val="20"/>
        </w:rPr>
      </w:pPr>
      <w:r>
        <w:rPr>
          <w:rStyle w:val="FootnoteReference"/>
        </w:rPr>
        <w:footnoteRef/>
      </w:r>
      <w:r>
        <w:t xml:space="preserve"> </w:t>
      </w:r>
      <w:r w:rsidRPr="00E7651D">
        <w:rPr>
          <w:i/>
          <w:sz w:val="20"/>
        </w:rPr>
        <w:t>weise</w:t>
      </w:r>
      <w:r w:rsidRPr="00E7651D">
        <w:rPr>
          <w:sz w:val="20"/>
        </w:rPr>
        <w:t xml:space="preserve"> (Adjektiv): no. vis</w:t>
      </w:r>
    </w:p>
  </w:footnote>
  <w:footnote w:id="20">
    <w:p w:rsidR="00247FB5" w:rsidRPr="00E7651D" w:rsidRDefault="00247FB5" w:rsidP="003457E3">
      <w:pPr>
        <w:pStyle w:val="FootnoteText"/>
        <w:rPr>
          <w:sz w:val="20"/>
        </w:rPr>
      </w:pPr>
      <w:r>
        <w:rPr>
          <w:rStyle w:val="FootnoteReference"/>
        </w:rPr>
        <w:footnoteRef/>
      </w:r>
      <w:r>
        <w:t xml:space="preserve"> </w:t>
      </w:r>
      <w:r w:rsidRPr="00E7651D">
        <w:rPr>
          <w:i/>
          <w:sz w:val="20"/>
        </w:rPr>
        <w:t xml:space="preserve">sanft </w:t>
      </w:r>
      <w:r w:rsidRPr="00E7651D">
        <w:rPr>
          <w:sz w:val="20"/>
        </w:rPr>
        <w:t xml:space="preserve">(Adjektiv): Gegensatz zu </w:t>
      </w:r>
      <w:r w:rsidRPr="002F02C3">
        <w:rPr>
          <w:i/>
          <w:sz w:val="20"/>
        </w:rPr>
        <w:t>hart</w:t>
      </w:r>
    </w:p>
  </w:footnote>
  <w:footnote w:id="21">
    <w:p w:rsidR="00247FB5" w:rsidRPr="00D53920" w:rsidRDefault="00247FB5" w:rsidP="003457E3">
      <w:pPr>
        <w:pStyle w:val="FootnoteText"/>
        <w:rPr>
          <w:sz w:val="20"/>
        </w:rPr>
      </w:pPr>
      <w:r w:rsidRPr="00D53920">
        <w:rPr>
          <w:rStyle w:val="FootnoteReference"/>
          <w:sz w:val="20"/>
        </w:rPr>
        <w:footnoteRef/>
      </w:r>
      <w:r w:rsidRPr="00D53920">
        <w:rPr>
          <w:sz w:val="20"/>
        </w:rPr>
        <w:t xml:space="preserve"> </w:t>
      </w:r>
      <w:r w:rsidRPr="00D53920">
        <w:rPr>
          <w:i/>
          <w:sz w:val="20"/>
        </w:rPr>
        <w:t>Heilweise</w:t>
      </w:r>
      <w:r w:rsidR="009E3676">
        <w:rPr>
          <w:sz w:val="20"/>
        </w:rPr>
        <w:t>: no. lækjing</w:t>
      </w:r>
      <w:r w:rsidRPr="00D53920">
        <w:rPr>
          <w:sz w:val="20"/>
        </w:rPr>
        <w:t>smetode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B5" w:rsidRDefault="00247FB5">
    <w:pPr>
      <w:pStyle w:val="Header"/>
    </w:pPr>
    <w:r>
      <w:t>Tysk 1101 – Skoleeksamen 2007 II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15A3B"/>
    <w:multiLevelType w:val="hybridMultilevel"/>
    <w:tmpl w:val="746E2B04"/>
    <w:lvl w:ilvl="0" w:tplc="000F0409">
      <w:start w:val="1"/>
      <w:numFmt w:val="decimal"/>
      <w:lvlText w:val="%1."/>
      <w:lvlJc w:val="left"/>
      <w:pPr>
        <w:tabs>
          <w:tab w:val="num" w:pos="360"/>
        </w:tabs>
        <w:ind w:left="360" w:hanging="360"/>
      </w:pPr>
    </w:lvl>
    <w:lvl w:ilvl="1" w:tplc="463CEAFC">
      <w:start w:val="1"/>
      <w:numFmt w:val="decimal"/>
      <w:lvlText w:val="%2)"/>
      <w:lvlJc w:val="left"/>
      <w:pPr>
        <w:tabs>
          <w:tab w:val="num" w:pos="1080"/>
        </w:tabs>
        <w:ind w:left="1080" w:hanging="360"/>
      </w:pPr>
      <w:rPr>
        <w:rFonts w:hint="default"/>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3457E3"/>
    <w:rsid w:val="000B3866"/>
    <w:rsid w:val="001D3A0B"/>
    <w:rsid w:val="00247FB5"/>
    <w:rsid w:val="003457E3"/>
    <w:rsid w:val="004C43B7"/>
    <w:rsid w:val="0072185A"/>
    <w:rsid w:val="00821229"/>
    <w:rsid w:val="009444FD"/>
    <w:rsid w:val="009E3676"/>
    <w:rsid w:val="00C64869"/>
    <w:rsid w:val="00DC26E7"/>
    <w:rsid w:val="00E56A89"/>
    <w:rsid w:val="00F65EE1"/>
    <w:rsid w:val="00F8743D"/>
    <w:rsid w:val="00FB3B6C"/>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7E3"/>
    <w:pPr>
      <w:spacing w:after="0" w:line="240" w:lineRule="auto"/>
    </w:pPr>
    <w:rPr>
      <w:rFonts w:ascii="Times New Roman" w:eastAsia="Times New Roman" w:hAnsi="Times New Roman" w:cs="Times New Roman"/>
      <w:sz w:val="20"/>
      <w:szCs w:val="20"/>
      <w:lang w:eastAsia="nb-NO"/>
    </w:rPr>
  </w:style>
  <w:style w:type="paragraph" w:styleId="Heading1">
    <w:name w:val="heading 1"/>
    <w:basedOn w:val="Normal"/>
    <w:next w:val="Normal"/>
    <w:link w:val="Heading1Char"/>
    <w:qFormat/>
    <w:rsid w:val="003457E3"/>
    <w:pPr>
      <w:keepNext/>
      <w:spacing w:before="240" w:after="60"/>
      <w:outlineLvl w:val="0"/>
    </w:pPr>
    <w:rPr>
      <w:rFonts w:ascii="Arial" w:hAnsi="Arial"/>
      <w:b/>
      <w:kern w:val="32"/>
      <w:sz w:val="32"/>
      <w:szCs w:val="32"/>
    </w:rPr>
  </w:style>
  <w:style w:type="paragraph" w:styleId="Heading2">
    <w:name w:val="heading 2"/>
    <w:basedOn w:val="Normal"/>
    <w:next w:val="Normal"/>
    <w:link w:val="Heading2Char"/>
    <w:qFormat/>
    <w:rsid w:val="003457E3"/>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57E3"/>
    <w:rPr>
      <w:rFonts w:ascii="Arial" w:eastAsia="Times New Roman" w:hAnsi="Arial" w:cs="Times New Roman"/>
      <w:b/>
      <w:kern w:val="32"/>
      <w:sz w:val="32"/>
      <w:szCs w:val="32"/>
      <w:lang w:eastAsia="nb-NO"/>
    </w:rPr>
  </w:style>
  <w:style w:type="character" w:customStyle="1" w:styleId="Heading2Char">
    <w:name w:val="Heading 2 Char"/>
    <w:basedOn w:val="DefaultParagraphFont"/>
    <w:link w:val="Heading2"/>
    <w:rsid w:val="003457E3"/>
    <w:rPr>
      <w:rFonts w:ascii="Times New Roman" w:eastAsia="Times New Roman" w:hAnsi="Times New Roman" w:cs="Times New Roman"/>
      <w:b/>
      <w:sz w:val="24"/>
      <w:szCs w:val="20"/>
      <w:lang w:eastAsia="nb-NO"/>
    </w:rPr>
  </w:style>
  <w:style w:type="paragraph" w:customStyle="1" w:styleId="gp-logo">
    <w:name w:val="gp-logo"/>
    <w:basedOn w:val="Normal"/>
    <w:rsid w:val="003457E3"/>
    <w:pPr>
      <w:framePr w:w="7938" w:hSpace="180" w:vSpace="180" w:wrap="auto" w:vAnchor="page" w:hAnchor="page" w:x="987" w:y="673"/>
      <w:spacing w:line="1000" w:lineRule="atLeast"/>
      <w:ind w:right="5670"/>
    </w:pPr>
    <w:rPr>
      <w:rFonts w:ascii="Times" w:hAnsi="Times"/>
      <w:b/>
      <w:spacing w:val="20"/>
      <w:sz w:val="32"/>
    </w:rPr>
  </w:style>
  <w:style w:type="paragraph" w:customStyle="1" w:styleId="gp-topp1">
    <w:name w:val="gp-topp1"/>
    <w:basedOn w:val="Normal"/>
    <w:rsid w:val="003457E3"/>
    <w:pPr>
      <w:framePr w:w="7938" w:hSpace="180" w:vSpace="180" w:wrap="auto" w:vAnchor="page" w:hAnchor="page" w:x="2377" w:y="830"/>
      <w:spacing w:line="360" w:lineRule="exact"/>
    </w:pPr>
    <w:rPr>
      <w:rFonts w:ascii="Times" w:hAnsi="Times"/>
      <w:b/>
      <w:spacing w:val="20"/>
      <w:sz w:val="32"/>
    </w:rPr>
  </w:style>
  <w:style w:type="paragraph" w:styleId="Footer">
    <w:name w:val="footer"/>
    <w:basedOn w:val="Normal"/>
    <w:link w:val="FooterChar"/>
    <w:rsid w:val="003457E3"/>
    <w:pPr>
      <w:tabs>
        <w:tab w:val="center" w:pos="4536"/>
        <w:tab w:val="right" w:pos="9072"/>
      </w:tabs>
    </w:pPr>
  </w:style>
  <w:style w:type="character" w:customStyle="1" w:styleId="FooterChar">
    <w:name w:val="Footer Char"/>
    <w:basedOn w:val="DefaultParagraphFont"/>
    <w:link w:val="Footer"/>
    <w:rsid w:val="003457E3"/>
    <w:rPr>
      <w:rFonts w:ascii="Times New Roman" w:eastAsia="Times New Roman" w:hAnsi="Times New Roman" w:cs="Times New Roman"/>
      <w:sz w:val="20"/>
      <w:szCs w:val="20"/>
      <w:lang w:eastAsia="nb-NO"/>
    </w:rPr>
  </w:style>
  <w:style w:type="paragraph" w:styleId="Caption">
    <w:name w:val="caption"/>
    <w:basedOn w:val="Normal"/>
    <w:next w:val="Normal"/>
    <w:qFormat/>
    <w:rsid w:val="003457E3"/>
    <w:rPr>
      <w:b/>
    </w:rPr>
  </w:style>
  <w:style w:type="character" w:styleId="Hyperlink">
    <w:name w:val="Hyperlink"/>
    <w:basedOn w:val="DefaultParagraphFont"/>
    <w:rsid w:val="003457E3"/>
    <w:rPr>
      <w:color w:val="0000FF"/>
      <w:u w:val="single"/>
    </w:rPr>
  </w:style>
  <w:style w:type="paragraph" w:styleId="Header">
    <w:name w:val="header"/>
    <w:basedOn w:val="Normal"/>
    <w:link w:val="HeaderChar"/>
    <w:rsid w:val="003457E3"/>
    <w:pPr>
      <w:tabs>
        <w:tab w:val="center" w:pos="4153"/>
        <w:tab w:val="right" w:pos="8306"/>
      </w:tabs>
    </w:pPr>
  </w:style>
  <w:style w:type="character" w:customStyle="1" w:styleId="HeaderChar">
    <w:name w:val="Header Char"/>
    <w:basedOn w:val="DefaultParagraphFont"/>
    <w:link w:val="Header"/>
    <w:rsid w:val="003457E3"/>
    <w:rPr>
      <w:rFonts w:ascii="Times New Roman" w:eastAsia="Times New Roman" w:hAnsi="Times New Roman" w:cs="Times New Roman"/>
      <w:sz w:val="20"/>
      <w:szCs w:val="20"/>
      <w:lang w:eastAsia="nb-NO"/>
    </w:rPr>
  </w:style>
  <w:style w:type="paragraph" w:styleId="FootnoteText">
    <w:name w:val="footnote text"/>
    <w:basedOn w:val="Normal"/>
    <w:link w:val="FootnoteTextChar"/>
    <w:semiHidden/>
    <w:rsid w:val="003457E3"/>
    <w:rPr>
      <w:sz w:val="24"/>
      <w:szCs w:val="24"/>
    </w:rPr>
  </w:style>
  <w:style w:type="character" w:customStyle="1" w:styleId="FootnoteTextChar">
    <w:name w:val="Footnote Text Char"/>
    <w:basedOn w:val="DefaultParagraphFont"/>
    <w:link w:val="FootnoteText"/>
    <w:semiHidden/>
    <w:rsid w:val="003457E3"/>
    <w:rPr>
      <w:rFonts w:ascii="Times New Roman" w:eastAsia="Times New Roman" w:hAnsi="Times New Roman" w:cs="Times New Roman"/>
      <w:sz w:val="24"/>
      <w:szCs w:val="24"/>
      <w:lang w:eastAsia="nb-NO"/>
    </w:rPr>
  </w:style>
  <w:style w:type="character" w:styleId="FootnoteReference">
    <w:name w:val="footnote reference"/>
    <w:basedOn w:val="DefaultParagraphFont"/>
    <w:semiHidden/>
    <w:rsid w:val="003457E3"/>
    <w:rPr>
      <w:vertAlign w:val="superscript"/>
    </w:rPr>
  </w:style>
  <w:style w:type="paragraph" w:customStyle="1" w:styleId="bodytext">
    <w:name w:val="bodytext"/>
    <w:basedOn w:val="Normal"/>
    <w:rsid w:val="003457E3"/>
    <w:pPr>
      <w:spacing w:before="100" w:beforeAutospacing="1" w:after="100" w:afterAutospacing="1"/>
    </w:pPr>
    <w:rPr>
      <w:rFonts w:ascii="Times" w:hAnsi="Times"/>
      <w:lang w:val="en-US" w:eastAsia="en-US"/>
    </w:rPr>
  </w:style>
  <w:style w:type="paragraph" w:styleId="BalloonText">
    <w:name w:val="Balloon Text"/>
    <w:basedOn w:val="Normal"/>
    <w:link w:val="BalloonTextChar"/>
    <w:uiPriority w:val="99"/>
    <w:semiHidden/>
    <w:unhideWhenUsed/>
    <w:rsid w:val="003457E3"/>
    <w:rPr>
      <w:rFonts w:ascii="Tahoma" w:hAnsi="Tahoma" w:cs="Tahoma"/>
      <w:sz w:val="16"/>
      <w:szCs w:val="16"/>
    </w:rPr>
  </w:style>
  <w:style w:type="character" w:customStyle="1" w:styleId="BalloonTextChar">
    <w:name w:val="Balloon Text Char"/>
    <w:basedOn w:val="DefaultParagraphFont"/>
    <w:link w:val="BalloonText"/>
    <w:uiPriority w:val="99"/>
    <w:semiHidden/>
    <w:rsid w:val="003457E3"/>
    <w:rPr>
      <w:rFonts w:ascii="Tahoma" w:eastAsia="Times New Roman" w:hAnsi="Tahoma" w:cs="Tahoma"/>
      <w:sz w:val="16"/>
      <w:szCs w:val="16"/>
      <w:lang w:eastAsia="nb-N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no.wikipedia.org/wiki/Gift" TargetMode="External"/><Relationship Id="rId3" Type="http://schemas.openxmlformats.org/officeDocument/2006/relationships/hyperlink" Target="http://no.wikipedia.org/wiki/Levende" TargetMode="External"/><Relationship Id="rId7" Type="http://schemas.openxmlformats.org/officeDocument/2006/relationships/hyperlink" Target="http://no.wikipedia.org/wiki/Medisin" TargetMode="External"/><Relationship Id="rId12" Type="http://schemas.openxmlformats.org/officeDocument/2006/relationships/hyperlink" Target="http://no.wikipedia.org/wiki/Aristoteles" TargetMode="External"/><Relationship Id="rId2" Type="http://schemas.openxmlformats.org/officeDocument/2006/relationships/hyperlink" Target="http://no.wikipedia.org/wiki/Kirurgi" TargetMode="External"/><Relationship Id="rId1" Type="http://schemas.openxmlformats.org/officeDocument/2006/relationships/hyperlink" Target="http://no.wikipedia.org/wiki/Vitenskapelig" TargetMode="External"/><Relationship Id="rId6" Type="http://schemas.openxmlformats.org/officeDocument/2006/relationships/hyperlink" Target="http://no.wikipedia.org/wiki/Bakterier" TargetMode="External"/><Relationship Id="rId11" Type="http://schemas.openxmlformats.org/officeDocument/2006/relationships/hyperlink" Target="http://no.wikipedia.org/wiki/Middelalderen" TargetMode="External"/><Relationship Id="rId5" Type="http://schemas.openxmlformats.org/officeDocument/2006/relationships/hyperlink" Target="http://no.wikipedia.org/wiki/Dyrefors%C3%B8k" TargetMode="External"/><Relationship Id="rId10" Type="http://schemas.openxmlformats.org/officeDocument/2006/relationships/hyperlink" Target="http://no.wikipedia.org/wiki/Filosofi" TargetMode="External"/><Relationship Id="rId4" Type="http://schemas.openxmlformats.org/officeDocument/2006/relationships/hyperlink" Target="http://no.wikipedia.org/w/index.php?title=Fors%C3%B8ksdyr&amp;action=edit&amp;redlink=1" TargetMode="External"/><Relationship Id="rId9" Type="http://schemas.openxmlformats.org/officeDocument/2006/relationships/hyperlink" Target="http://no.wikipedia.org/wiki/Teolo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1476</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9284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mavedoy</dc:creator>
  <cp:keywords/>
  <dc:description/>
  <cp:lastModifiedBy>mavedoy</cp:lastModifiedBy>
  <cp:revision>9</cp:revision>
  <cp:lastPrinted>2010-05-28T09:02:00Z</cp:lastPrinted>
  <dcterms:created xsi:type="dcterms:W3CDTF">2010-05-27T11:11:00Z</dcterms:created>
  <dcterms:modified xsi:type="dcterms:W3CDTF">2010-05-28T09:04:00Z</dcterms:modified>
</cp:coreProperties>
</file>