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930"/>
      </w:tblGrid>
      <w:tr w:rsidR="00E03ABD" w:rsidRPr="00E03ABD" w:rsidTr="00E03ABD">
        <w:trPr>
          <w:trHeight w:val="570"/>
        </w:trPr>
        <w:tc>
          <w:tcPr>
            <w:tcW w:w="9639" w:type="dxa"/>
            <w:gridSpan w:val="2"/>
            <w:vAlign w:val="center"/>
          </w:tcPr>
          <w:p w:rsidR="00456832" w:rsidRDefault="00E03ABD" w:rsidP="00456832">
            <w:pPr>
              <w:pStyle w:val="Georgia11spacing0after"/>
              <w:rPr>
                <w:b/>
                <w:sz w:val="28"/>
                <w:szCs w:val="28"/>
              </w:rPr>
            </w:pPr>
            <w:bookmarkStart w:id="0" w:name="_GoBack"/>
            <w:bookmarkEnd w:id="0"/>
            <w:r w:rsidRPr="000D114A">
              <w:rPr>
                <w:b/>
                <w:sz w:val="28"/>
                <w:szCs w:val="28"/>
              </w:rPr>
              <w:t>EKSAMEN</w:t>
            </w:r>
            <w:r w:rsidR="007A6A45" w:rsidRPr="000D114A">
              <w:rPr>
                <w:b/>
                <w:sz w:val="28"/>
                <w:szCs w:val="28"/>
              </w:rPr>
              <w:t xml:space="preserve"> I </w:t>
            </w:r>
          </w:p>
          <w:p w:rsidR="00E03ABD" w:rsidRPr="000D114A" w:rsidRDefault="00456832" w:rsidP="00456832">
            <w:pPr>
              <w:pStyle w:val="Georgia11spacing0after"/>
              <w:rPr>
                <w:sz w:val="28"/>
                <w:szCs w:val="28"/>
              </w:rPr>
            </w:pPr>
            <w:r>
              <w:rPr>
                <w:b/>
                <w:sz w:val="28"/>
                <w:szCs w:val="28"/>
              </w:rPr>
              <w:t>JUR3011</w:t>
            </w:r>
            <w:r w:rsidR="00645295">
              <w:rPr>
                <w:b/>
                <w:sz w:val="28"/>
                <w:szCs w:val="28"/>
              </w:rPr>
              <w:t xml:space="preserve"> – </w:t>
            </w:r>
            <w:r>
              <w:rPr>
                <w:b/>
                <w:sz w:val="28"/>
                <w:szCs w:val="28"/>
              </w:rPr>
              <w:t>Grunnleggende regnskapsforståelse og regnskapsrett</w:t>
            </w:r>
          </w:p>
        </w:tc>
      </w:tr>
      <w:tr w:rsidR="00E03ABD" w:rsidRPr="00E03ABD" w:rsidTr="008D7205">
        <w:trPr>
          <w:trHeight w:val="680"/>
        </w:trPr>
        <w:tc>
          <w:tcPr>
            <w:tcW w:w="9639" w:type="dxa"/>
            <w:gridSpan w:val="2"/>
            <w:vAlign w:val="center"/>
          </w:tcPr>
          <w:p w:rsidR="00E03ABD" w:rsidRPr="00E03ABD" w:rsidRDefault="00E03ABD" w:rsidP="008D7205">
            <w:pPr>
              <w:pStyle w:val="Georgia11spacing0after"/>
              <w:rPr>
                <w:b/>
              </w:rPr>
            </w:pPr>
            <w:r>
              <w:rPr>
                <w:b/>
              </w:rPr>
              <w:t>H</w:t>
            </w:r>
            <w:r w:rsidRPr="00E03ABD">
              <w:rPr>
                <w:b/>
              </w:rPr>
              <w:t>øst 201</w:t>
            </w:r>
            <w:r w:rsidR="008D7205">
              <w:rPr>
                <w:b/>
              </w:rPr>
              <w:t>2</w:t>
            </w:r>
          </w:p>
        </w:tc>
      </w:tr>
      <w:tr w:rsidR="00E03ABD" w:rsidRPr="00E03ABD" w:rsidTr="0017751A">
        <w:trPr>
          <w:trHeight w:val="284"/>
        </w:trPr>
        <w:tc>
          <w:tcPr>
            <w:tcW w:w="709" w:type="dxa"/>
            <w:vAlign w:val="center"/>
          </w:tcPr>
          <w:p w:rsidR="00E03ABD" w:rsidRPr="00E03ABD" w:rsidRDefault="00E03ABD" w:rsidP="00E03ABD">
            <w:pPr>
              <w:pStyle w:val="Georgia11spacing0after"/>
              <w:rPr>
                <w:sz w:val="20"/>
                <w:szCs w:val="20"/>
              </w:rPr>
            </w:pPr>
            <w:r w:rsidRPr="00E03ABD">
              <w:rPr>
                <w:sz w:val="20"/>
                <w:szCs w:val="20"/>
              </w:rPr>
              <w:t>Dato:</w:t>
            </w:r>
          </w:p>
        </w:tc>
        <w:tc>
          <w:tcPr>
            <w:tcW w:w="8930" w:type="dxa"/>
            <w:vAlign w:val="center"/>
          </w:tcPr>
          <w:p w:rsidR="00E03ABD" w:rsidRPr="00E03ABD" w:rsidRDefault="008D7205" w:rsidP="008D7205">
            <w:pPr>
              <w:pStyle w:val="Georgia11spacing0after"/>
              <w:rPr>
                <w:sz w:val="20"/>
                <w:szCs w:val="20"/>
              </w:rPr>
            </w:pPr>
            <w:r>
              <w:rPr>
                <w:sz w:val="20"/>
                <w:szCs w:val="20"/>
              </w:rPr>
              <w:t>Fre</w:t>
            </w:r>
            <w:r w:rsidR="000D114A">
              <w:rPr>
                <w:sz w:val="20"/>
                <w:szCs w:val="20"/>
              </w:rPr>
              <w:t>d</w:t>
            </w:r>
            <w:r w:rsidR="00E03ABD" w:rsidRPr="00E03ABD">
              <w:rPr>
                <w:sz w:val="20"/>
                <w:szCs w:val="20"/>
              </w:rPr>
              <w:t xml:space="preserve">ag </w:t>
            </w:r>
            <w:r w:rsidR="00456832">
              <w:rPr>
                <w:sz w:val="20"/>
                <w:szCs w:val="20"/>
              </w:rPr>
              <w:t>1</w:t>
            </w:r>
            <w:r>
              <w:rPr>
                <w:sz w:val="20"/>
                <w:szCs w:val="20"/>
              </w:rPr>
              <w:t>4</w:t>
            </w:r>
            <w:r w:rsidR="00E03ABD" w:rsidRPr="00E03ABD">
              <w:rPr>
                <w:sz w:val="20"/>
                <w:szCs w:val="20"/>
              </w:rPr>
              <w:t>.</w:t>
            </w:r>
            <w:r w:rsidR="006F6574">
              <w:rPr>
                <w:sz w:val="20"/>
                <w:szCs w:val="20"/>
              </w:rPr>
              <w:t>desember</w:t>
            </w:r>
            <w:r w:rsidR="00E03ABD" w:rsidRPr="00E03ABD">
              <w:rPr>
                <w:sz w:val="20"/>
                <w:szCs w:val="20"/>
              </w:rPr>
              <w:t xml:space="preserve"> 201</w:t>
            </w:r>
            <w:r>
              <w:rPr>
                <w:sz w:val="20"/>
                <w:szCs w:val="20"/>
              </w:rPr>
              <w:t>2</w:t>
            </w:r>
          </w:p>
        </w:tc>
      </w:tr>
      <w:tr w:rsidR="00E03ABD" w:rsidRPr="00E03ABD" w:rsidTr="0017751A">
        <w:trPr>
          <w:trHeight w:val="284"/>
        </w:trPr>
        <w:tc>
          <w:tcPr>
            <w:tcW w:w="709" w:type="dxa"/>
            <w:tcBorders>
              <w:bottom w:val="single" w:sz="4" w:space="0" w:color="auto"/>
            </w:tcBorders>
            <w:vAlign w:val="center"/>
          </w:tcPr>
          <w:p w:rsidR="00E03ABD" w:rsidRPr="00E03ABD" w:rsidRDefault="00E03ABD" w:rsidP="00E03ABD">
            <w:pPr>
              <w:pStyle w:val="Georgia11spacing0after"/>
              <w:rPr>
                <w:sz w:val="20"/>
                <w:szCs w:val="20"/>
              </w:rPr>
            </w:pPr>
            <w:r w:rsidRPr="00E03ABD">
              <w:rPr>
                <w:sz w:val="20"/>
                <w:szCs w:val="20"/>
              </w:rPr>
              <w:t>Tid:</w:t>
            </w:r>
          </w:p>
        </w:tc>
        <w:tc>
          <w:tcPr>
            <w:tcW w:w="8930" w:type="dxa"/>
            <w:tcBorders>
              <w:bottom w:val="single" w:sz="4" w:space="0" w:color="auto"/>
            </w:tcBorders>
            <w:vAlign w:val="center"/>
          </w:tcPr>
          <w:p w:rsidR="00E03ABD" w:rsidRPr="00E03ABD" w:rsidRDefault="00E03ABD" w:rsidP="00456832">
            <w:pPr>
              <w:pStyle w:val="Georgia11spacing0after"/>
              <w:rPr>
                <w:sz w:val="20"/>
                <w:szCs w:val="20"/>
              </w:rPr>
            </w:pPr>
            <w:r w:rsidRPr="00E03ABD">
              <w:rPr>
                <w:sz w:val="20"/>
                <w:szCs w:val="20"/>
              </w:rPr>
              <w:t>Kl. 10:00 – 1</w:t>
            </w:r>
            <w:r w:rsidR="00456832">
              <w:rPr>
                <w:sz w:val="20"/>
                <w:szCs w:val="20"/>
              </w:rPr>
              <w:t>4</w:t>
            </w:r>
            <w:r w:rsidRPr="00E03ABD">
              <w:rPr>
                <w:sz w:val="20"/>
                <w:szCs w:val="20"/>
              </w:rPr>
              <w:t>:00</w:t>
            </w:r>
          </w:p>
        </w:tc>
      </w:tr>
    </w:tbl>
    <w:p w:rsidR="00645295" w:rsidRDefault="00645295" w:rsidP="00645295">
      <w:bookmarkStart w:id="1" w:name="ADRESSE"/>
      <w:bookmarkStart w:id="2" w:name="UTLANDSADRESSE"/>
      <w:bookmarkEnd w:id="1"/>
      <w:bookmarkEnd w:id="2"/>
    </w:p>
    <w:p w:rsidR="008D7205" w:rsidRPr="008D7205" w:rsidRDefault="008D7205" w:rsidP="008D7205">
      <w:pPr>
        <w:shd w:val="clear" w:color="auto" w:fill="FFFFFF"/>
        <w:spacing w:before="45" w:after="120" w:line="240" w:lineRule="auto"/>
        <w:rPr>
          <w:rFonts w:cs="Arial"/>
          <w:b/>
          <w:color w:val="2B2B2B"/>
        </w:rPr>
      </w:pPr>
      <w:r w:rsidRPr="008D7205">
        <w:rPr>
          <w:rFonts w:cs="Arial"/>
          <w:b/>
          <w:color w:val="2B2B2B"/>
        </w:rPr>
        <w:t>Del I – Grunnleggende regnskapsforståelse (1/3)</w:t>
      </w:r>
    </w:p>
    <w:p w:rsidR="008D7205" w:rsidRPr="008D7205" w:rsidRDefault="008D7205" w:rsidP="008D7205">
      <w:pPr>
        <w:shd w:val="clear" w:color="auto" w:fill="FFFFFF"/>
        <w:spacing w:before="45" w:after="120" w:line="240" w:lineRule="auto"/>
        <w:rPr>
          <w:rFonts w:cs="Arial"/>
          <w:color w:val="2B2B2B"/>
        </w:rPr>
      </w:pPr>
      <w:r w:rsidRPr="008D7205">
        <w:rPr>
          <w:rFonts w:cs="Arial"/>
          <w:b/>
          <w:color w:val="2B2B2B"/>
        </w:rPr>
        <w:t>1</w:t>
      </w:r>
      <w:r w:rsidRPr="008D7205">
        <w:rPr>
          <w:rFonts w:cs="Arial"/>
          <w:color w:val="2B2B2B"/>
        </w:rPr>
        <w:t> Redegjør for de fire kvalitetskravene som tradisjonelt er satt til et informativt finansregnskap. Drøft også hvilket av dem du anser som det viktigste </w:t>
      </w:r>
    </w:p>
    <w:p w:rsidR="008D7205" w:rsidRPr="008D7205" w:rsidRDefault="008D7205" w:rsidP="008D7205">
      <w:pPr>
        <w:shd w:val="clear" w:color="auto" w:fill="FFFFFF"/>
        <w:spacing w:before="45" w:after="120" w:line="240" w:lineRule="auto"/>
        <w:rPr>
          <w:rFonts w:cs="Arial"/>
          <w:color w:val="2B2B2B"/>
        </w:rPr>
      </w:pPr>
      <w:r w:rsidRPr="008D7205">
        <w:rPr>
          <w:rFonts w:cs="Arial"/>
          <w:b/>
          <w:color w:val="2B2B2B"/>
        </w:rPr>
        <w:t xml:space="preserve">2 </w:t>
      </w:r>
      <w:r w:rsidRPr="008D7205">
        <w:rPr>
          <w:rFonts w:cs="Arial"/>
          <w:color w:val="2B2B2B"/>
        </w:rPr>
        <w:t>Hva mener du har vært drivkreftene bak den enorme utviklingen i norsk regnskapsrapportering de siste fire tiårene</w:t>
      </w:r>
      <w:r>
        <w:rPr>
          <w:rFonts w:cs="Arial"/>
          <w:color w:val="2B2B2B"/>
        </w:rPr>
        <w:t>?</w:t>
      </w:r>
    </w:p>
    <w:p w:rsidR="008D7205" w:rsidRPr="008D7205" w:rsidRDefault="008D7205" w:rsidP="008D7205">
      <w:pPr>
        <w:shd w:val="clear" w:color="auto" w:fill="FFFFFF"/>
        <w:spacing w:before="45" w:after="120" w:line="240" w:lineRule="auto"/>
        <w:rPr>
          <w:rFonts w:cs="Arial"/>
          <w:color w:val="2B2B2B"/>
        </w:rPr>
      </w:pPr>
      <w:r w:rsidRPr="008D7205">
        <w:rPr>
          <w:rFonts w:cs="Arial"/>
          <w:b/>
          <w:color w:val="2B2B2B"/>
        </w:rPr>
        <w:t>3</w:t>
      </w:r>
      <w:r w:rsidRPr="008D7205">
        <w:rPr>
          <w:rFonts w:cs="Arial"/>
          <w:color w:val="2B2B2B"/>
        </w:rPr>
        <w:t xml:space="preserve"> Ofte høres utsagnet ” å bringe balanse i regnskapet”. Hva sier du til dette utsagnet?</w:t>
      </w:r>
    </w:p>
    <w:p w:rsidR="008D7205" w:rsidRPr="008D7205" w:rsidRDefault="008D7205" w:rsidP="008D7205">
      <w:pPr>
        <w:shd w:val="clear" w:color="auto" w:fill="FFFFFF"/>
        <w:spacing w:before="45" w:after="120" w:line="240" w:lineRule="auto"/>
        <w:rPr>
          <w:rFonts w:cs="Arial"/>
          <w:color w:val="2B2B2B"/>
        </w:rPr>
      </w:pPr>
      <w:r w:rsidRPr="008D7205">
        <w:rPr>
          <w:rFonts w:cs="Arial"/>
          <w:b/>
          <w:color w:val="2B2B2B"/>
        </w:rPr>
        <w:t xml:space="preserve">4 </w:t>
      </w:r>
      <w:r w:rsidRPr="008D7205">
        <w:rPr>
          <w:rFonts w:cs="Arial"/>
          <w:color w:val="2B2B2B"/>
        </w:rPr>
        <w:t>Hva er poenget med å gruppere balansen, og hva er de vanlige grupperingene?</w:t>
      </w:r>
    </w:p>
    <w:p w:rsidR="008D7205" w:rsidRPr="008D7205" w:rsidRDefault="008D7205" w:rsidP="008D7205">
      <w:pPr>
        <w:shd w:val="clear" w:color="auto" w:fill="FFFFFF"/>
        <w:spacing w:before="45" w:after="120" w:line="240" w:lineRule="auto"/>
        <w:rPr>
          <w:rFonts w:cs="Arial"/>
          <w:color w:val="2B2B2B"/>
        </w:rPr>
      </w:pPr>
      <w:r w:rsidRPr="008D7205">
        <w:rPr>
          <w:rFonts w:cs="Arial"/>
          <w:b/>
          <w:color w:val="2B2B2B"/>
        </w:rPr>
        <w:t>5</w:t>
      </w:r>
      <w:r w:rsidRPr="008D7205">
        <w:rPr>
          <w:rFonts w:cs="Arial"/>
          <w:color w:val="2B2B2B"/>
        </w:rPr>
        <w:t xml:space="preserve"> Vinning ved salg av anleggsmiddel ble tidligere klassifisert blant ekstraordinære poster. Utviklingen har imidlertid gå</w:t>
      </w:r>
      <w:r>
        <w:rPr>
          <w:rFonts w:cs="Arial"/>
          <w:color w:val="2B2B2B"/>
        </w:rPr>
        <w:t>tt</w:t>
      </w:r>
      <w:r w:rsidRPr="008D7205">
        <w:rPr>
          <w:rFonts w:cs="Arial"/>
          <w:color w:val="2B2B2B"/>
        </w:rPr>
        <w:t xml:space="preserve"> i retning av en svært restriktiv holdning til å klassifisere slike poster som ekstraordinære. Hva kan være grunnen til det?</w:t>
      </w:r>
    </w:p>
    <w:p w:rsidR="008D7205" w:rsidRPr="008D7205" w:rsidRDefault="008D7205" w:rsidP="008D7205">
      <w:pPr>
        <w:shd w:val="clear" w:color="auto" w:fill="FFFFFF"/>
        <w:spacing w:before="45" w:after="120" w:line="240" w:lineRule="auto"/>
        <w:rPr>
          <w:rFonts w:cs="Arial"/>
          <w:color w:val="2B2B2B"/>
        </w:rPr>
      </w:pPr>
      <w:r w:rsidRPr="008D7205">
        <w:rPr>
          <w:rFonts w:cs="Arial"/>
          <w:b/>
          <w:color w:val="2B2B2B"/>
        </w:rPr>
        <w:t>6</w:t>
      </w:r>
      <w:r w:rsidRPr="008D7205">
        <w:rPr>
          <w:rFonts w:cs="Arial"/>
          <w:color w:val="2B2B2B"/>
        </w:rPr>
        <w:t xml:space="preserve"> Under hvilken hovedgruppe i resultatregnskapet venter du å finne ” tap ved salg av anleggsmiddel”</w:t>
      </w:r>
      <w:r>
        <w:rPr>
          <w:rFonts w:cs="Arial"/>
          <w:color w:val="2B2B2B"/>
        </w:rPr>
        <w:t>?</w:t>
      </w:r>
    </w:p>
    <w:p w:rsidR="008D7205" w:rsidRDefault="008D7205" w:rsidP="008D7205">
      <w:pPr>
        <w:shd w:val="clear" w:color="auto" w:fill="FFFFFF"/>
        <w:spacing w:before="45" w:after="120" w:line="240" w:lineRule="auto"/>
        <w:rPr>
          <w:rFonts w:cs="Arial"/>
          <w:color w:val="2B2B2B"/>
        </w:rPr>
      </w:pPr>
    </w:p>
    <w:p w:rsidR="008D7205" w:rsidRPr="008D7205" w:rsidRDefault="008D7205" w:rsidP="008D7205">
      <w:pPr>
        <w:shd w:val="clear" w:color="auto" w:fill="FFFFFF"/>
        <w:spacing w:before="45" w:after="120" w:line="240" w:lineRule="auto"/>
        <w:rPr>
          <w:rFonts w:cs="Arial"/>
          <w:b/>
          <w:color w:val="2B2B2B"/>
        </w:rPr>
      </w:pPr>
      <w:r w:rsidRPr="008D7205">
        <w:rPr>
          <w:rFonts w:cs="Arial"/>
          <w:b/>
          <w:color w:val="2B2B2B"/>
        </w:rPr>
        <w:t>Del II – Regnskapslovgivningen (1/3)</w:t>
      </w:r>
    </w:p>
    <w:p w:rsidR="008D7205" w:rsidRPr="008D7205" w:rsidRDefault="008D7205" w:rsidP="008D7205">
      <w:pPr>
        <w:numPr>
          <w:ilvl w:val="0"/>
          <w:numId w:val="6"/>
        </w:numPr>
        <w:shd w:val="clear" w:color="auto" w:fill="FFFFFF"/>
        <w:spacing w:before="45" w:after="120" w:line="240" w:lineRule="auto"/>
        <w:rPr>
          <w:rFonts w:cs="Arial"/>
          <w:color w:val="2B2B2B"/>
        </w:rPr>
      </w:pPr>
      <w:r w:rsidRPr="008D7205">
        <w:rPr>
          <w:rFonts w:cs="Arial"/>
          <w:color w:val="2B2B2B"/>
        </w:rPr>
        <w:t xml:space="preserve">Hvordan vil du regnskapsføre en investering i et datterselskap og i et tilknyttet selskap i konsernregnskapet og i </w:t>
      </w:r>
      <w:r>
        <w:rPr>
          <w:rFonts w:cs="Arial"/>
          <w:color w:val="2B2B2B"/>
        </w:rPr>
        <w:t>selskapsregnskapet til investor?</w:t>
      </w:r>
      <w:r w:rsidRPr="008D7205">
        <w:rPr>
          <w:rFonts w:cs="Arial"/>
          <w:color w:val="2B2B2B"/>
        </w:rPr>
        <w:t xml:space="preserve">   </w:t>
      </w:r>
    </w:p>
    <w:p w:rsidR="008D7205" w:rsidRPr="008D7205" w:rsidRDefault="008D7205" w:rsidP="008D7205">
      <w:pPr>
        <w:numPr>
          <w:ilvl w:val="0"/>
          <w:numId w:val="6"/>
        </w:numPr>
        <w:shd w:val="clear" w:color="auto" w:fill="FFFFFF"/>
        <w:spacing w:before="45" w:after="120" w:line="240" w:lineRule="auto"/>
        <w:rPr>
          <w:rFonts w:cs="Arial"/>
          <w:color w:val="2B2B2B"/>
        </w:rPr>
      </w:pPr>
      <w:r w:rsidRPr="008D7205">
        <w:rPr>
          <w:rFonts w:cs="Arial"/>
          <w:color w:val="2B2B2B"/>
        </w:rPr>
        <w:t xml:space="preserve">Det kan hevdes at IFRS tilfredsstiller de fire kvalitetskravene til et informativt finansregnskap på en bedre måte enn et regnskap satt opp etter regnskapslovens alminnelige regler. Er du enig i dette? </w:t>
      </w:r>
    </w:p>
    <w:p w:rsidR="008D7205" w:rsidRPr="008D7205" w:rsidRDefault="008D7205" w:rsidP="008D7205">
      <w:pPr>
        <w:shd w:val="clear" w:color="auto" w:fill="FFFFFF"/>
        <w:spacing w:before="45" w:after="120" w:line="240" w:lineRule="auto"/>
        <w:ind w:left="708" w:hanging="393"/>
        <w:rPr>
          <w:rFonts w:cs="Arial"/>
          <w:color w:val="2B2B2B"/>
        </w:rPr>
      </w:pPr>
      <w:r>
        <w:rPr>
          <w:rFonts w:cs="Arial"/>
          <w:color w:val="2B2B2B"/>
        </w:rPr>
        <w:t xml:space="preserve"> </w:t>
      </w:r>
      <w:r w:rsidRPr="008D7205">
        <w:rPr>
          <w:rFonts w:cs="Arial"/>
          <w:color w:val="2B2B2B"/>
        </w:rPr>
        <w:t xml:space="preserve">3 </w:t>
      </w:r>
      <w:r w:rsidRPr="008D7205">
        <w:rPr>
          <w:rFonts w:cs="Arial"/>
          <w:color w:val="2B2B2B"/>
        </w:rPr>
        <w:tab/>
        <w:t xml:space="preserve">I november 2012 besluttet styret i Norsk RegnskapsStiftelse å erstatte dagens norske regnskapsstandarder med er forenklet versjon av IFRS, ” IFRS for SMEs”. Redegjør for fordeler og ulemper ved innføring av et slikt nytt regelverk i Norge. </w:t>
      </w:r>
    </w:p>
    <w:p w:rsidR="008D7205" w:rsidRPr="008D7205" w:rsidRDefault="008D7205" w:rsidP="008D7205">
      <w:pPr>
        <w:shd w:val="clear" w:color="auto" w:fill="FFFFFF"/>
        <w:spacing w:before="45" w:after="120" w:line="240" w:lineRule="auto"/>
        <w:rPr>
          <w:rFonts w:cs="Arial"/>
          <w:color w:val="2B2B2B"/>
        </w:rPr>
      </w:pPr>
    </w:p>
    <w:p w:rsidR="008D7205" w:rsidRPr="008D7205" w:rsidRDefault="008D7205" w:rsidP="008D7205">
      <w:pPr>
        <w:shd w:val="clear" w:color="auto" w:fill="FFFFFF"/>
        <w:spacing w:before="45" w:after="120" w:line="240" w:lineRule="auto"/>
        <w:rPr>
          <w:rFonts w:cs="Arial"/>
          <w:b/>
          <w:color w:val="2B2B2B"/>
        </w:rPr>
      </w:pPr>
      <w:r w:rsidRPr="008D7205">
        <w:rPr>
          <w:rFonts w:cs="Arial"/>
          <w:b/>
          <w:color w:val="2B2B2B"/>
        </w:rPr>
        <w:t>Del III – Forholdet mellom regnskapsretten og andre rettsområder (1/3)</w:t>
      </w:r>
    </w:p>
    <w:p w:rsidR="008D7205" w:rsidRPr="008D7205" w:rsidRDefault="008D7205" w:rsidP="008D7205">
      <w:pPr>
        <w:shd w:val="clear" w:color="auto" w:fill="FFFFFF"/>
        <w:spacing w:before="45" w:after="120" w:line="240" w:lineRule="auto"/>
        <w:rPr>
          <w:rFonts w:cs="Arial"/>
          <w:color w:val="2B2B2B"/>
        </w:rPr>
      </w:pPr>
      <w:r w:rsidRPr="008D7205">
        <w:rPr>
          <w:rFonts w:cs="Arial"/>
          <w:b/>
          <w:color w:val="2B2B2B"/>
        </w:rPr>
        <w:t>1 </w:t>
      </w:r>
      <w:r w:rsidRPr="008D7205">
        <w:rPr>
          <w:rFonts w:cs="Arial"/>
          <w:color w:val="2B2B2B"/>
        </w:rPr>
        <w:t>Redegjør for avskrivninger og nedskrivninger av eiendeler i et regnskapsmessig og et skattemessig perspektiv. Gi argumentene for og imot at disse regelverkene ikke er</w:t>
      </w:r>
      <w:r>
        <w:rPr>
          <w:rFonts w:cs="Arial"/>
          <w:color w:val="2B2B2B"/>
        </w:rPr>
        <w:t xml:space="preserve"> identiske. </w:t>
      </w:r>
    </w:p>
    <w:p w:rsidR="008D7205" w:rsidRPr="008D7205" w:rsidRDefault="008D7205" w:rsidP="008D7205">
      <w:pPr>
        <w:shd w:val="clear" w:color="auto" w:fill="FFFFFF"/>
        <w:spacing w:before="45" w:after="120" w:line="240" w:lineRule="auto"/>
        <w:rPr>
          <w:rFonts w:cs="Arial"/>
          <w:color w:val="2B2B2B"/>
        </w:rPr>
      </w:pPr>
      <w:r w:rsidRPr="008D7205">
        <w:rPr>
          <w:rFonts w:cs="Arial"/>
          <w:b/>
          <w:color w:val="2B2B2B"/>
        </w:rPr>
        <w:t>2</w:t>
      </w:r>
      <w:r>
        <w:rPr>
          <w:rFonts w:cs="Arial"/>
          <w:color w:val="2B2B2B"/>
        </w:rPr>
        <w:t xml:space="preserve"> </w:t>
      </w:r>
      <w:r w:rsidRPr="008D7205">
        <w:rPr>
          <w:rFonts w:cs="Arial"/>
          <w:color w:val="2B2B2B"/>
        </w:rPr>
        <w:t xml:space="preserve">Aksjelovens § 8-1 (1) legger til grunn at maksimal utbytteutdeling fra et aksjeselskap skal beregnes med utgangspunkt i regnskapsstørrelser som ”årsresultat” og ”annen egenkapital”. </w:t>
      </w:r>
    </w:p>
    <w:p w:rsidR="008D7205" w:rsidRPr="008D7205" w:rsidRDefault="008D7205" w:rsidP="008D7205">
      <w:pPr>
        <w:shd w:val="clear" w:color="auto" w:fill="FFFFFF"/>
        <w:spacing w:before="45" w:after="120" w:line="240" w:lineRule="auto"/>
        <w:rPr>
          <w:rFonts w:cs="Arial"/>
          <w:color w:val="000000"/>
        </w:rPr>
      </w:pPr>
      <w:r w:rsidRPr="008D7205">
        <w:rPr>
          <w:rFonts w:cs="Arial"/>
          <w:color w:val="000000"/>
        </w:rPr>
        <w:t>Aksjelovens § 3-4 krever at ” Selskapet skal til enhver tid ha en egenkapital som er forsvarlig ut fra risikoen ved og omfanget av virksomheten i selskapet.”</w:t>
      </w:r>
    </w:p>
    <w:p w:rsidR="008D7205" w:rsidRPr="00A14748" w:rsidRDefault="008D7205" w:rsidP="00A14748">
      <w:pPr>
        <w:shd w:val="clear" w:color="auto" w:fill="FFFFFF"/>
        <w:spacing w:before="45" w:after="120" w:line="240" w:lineRule="auto"/>
        <w:rPr>
          <w:rFonts w:cs="Arial"/>
          <w:color w:val="000000"/>
        </w:rPr>
      </w:pPr>
      <w:r w:rsidRPr="008D7205">
        <w:rPr>
          <w:rFonts w:cs="Arial"/>
          <w:color w:val="000000"/>
        </w:rPr>
        <w:t xml:space="preserve">Redegjør for likheter og ulikheter i de egenkapitalbegrepene som disse </w:t>
      </w:r>
      <w:r w:rsidR="00A14748">
        <w:rPr>
          <w:rFonts w:cs="Arial"/>
          <w:color w:val="000000"/>
        </w:rPr>
        <w:t>to bestemmelsene refererer til.</w:t>
      </w:r>
    </w:p>
    <w:p w:rsidR="00456832" w:rsidRDefault="00A14748" w:rsidP="00A14748">
      <w:pPr>
        <w:spacing w:after="0" w:line="240" w:lineRule="auto"/>
        <w:jc w:val="center"/>
      </w:pPr>
      <w:r>
        <w:t>***</w:t>
      </w:r>
    </w:p>
    <w:p w:rsidR="00A14748" w:rsidRDefault="00A14748" w:rsidP="00EB6128">
      <w:pPr>
        <w:spacing w:after="0" w:line="240" w:lineRule="auto"/>
        <w:jc w:val="center"/>
      </w:pPr>
    </w:p>
    <w:p w:rsidR="00456832" w:rsidRDefault="00456832" w:rsidP="007A6A45">
      <w:pPr>
        <w:rPr>
          <w:rFonts w:cs="Calibri"/>
        </w:rPr>
      </w:pPr>
    </w:p>
    <w:p w:rsidR="007A6A45" w:rsidRPr="00645295" w:rsidRDefault="007A6A45" w:rsidP="007A6A45">
      <w:pPr>
        <w:rPr>
          <w:rFonts w:cs="Calibri"/>
        </w:rPr>
      </w:pPr>
      <w:r w:rsidRPr="00645295">
        <w:rPr>
          <w:rFonts w:cs="Calibri"/>
        </w:rPr>
        <w:t xml:space="preserve">Sensuren faller </w:t>
      </w:r>
      <w:r w:rsidR="00456832">
        <w:rPr>
          <w:rFonts w:cs="Calibri"/>
        </w:rPr>
        <w:t>ons</w:t>
      </w:r>
      <w:r w:rsidRPr="00645295">
        <w:rPr>
          <w:rFonts w:cs="Calibri"/>
        </w:rPr>
        <w:t xml:space="preserve">dag </w:t>
      </w:r>
      <w:r w:rsidR="008D7205">
        <w:rPr>
          <w:rFonts w:cs="Calibri"/>
        </w:rPr>
        <w:t>9</w:t>
      </w:r>
      <w:r w:rsidRPr="00645295">
        <w:rPr>
          <w:rFonts w:cs="Calibri"/>
        </w:rPr>
        <w:t xml:space="preserve"> januar klokken 15.00. Kontroller på StudWeb eller ta kontakt med Infosenteret på 22 85 95 00.</w:t>
      </w:r>
    </w:p>
    <w:p w:rsidR="001D65A6" w:rsidRPr="00360E19" w:rsidRDefault="007A6A45" w:rsidP="007A6A45">
      <w:pPr>
        <w:rPr>
          <w:rFonts w:cs="Calibri"/>
        </w:rPr>
      </w:pPr>
      <w:r w:rsidRPr="00645295">
        <w:rPr>
          <w:rFonts w:cs="Calibri"/>
        </w:rPr>
        <w:t xml:space="preserve">Kandidatene har rett til en redegjørelse for sensurvedtaket ved henvendelse til sensorene innen en uke etter sensur. Kontaktinformasjon for sensorer finnes på Fakultetets nettsider. Du kan også ta kontakt med infosenteret. </w:t>
      </w:r>
      <w:r w:rsidRPr="00360E19">
        <w:rPr>
          <w:rFonts w:cs="Calibri"/>
        </w:rPr>
        <w:t>Klagefristen er tre uker etter sensur.</w:t>
      </w:r>
    </w:p>
    <w:p w:rsidR="0017751A" w:rsidRPr="00645295" w:rsidRDefault="00F332BD" w:rsidP="00C4025E">
      <w:pPr>
        <w:rPr>
          <w:rFonts w:cs="Calibri"/>
          <w:lang w:val="en-US"/>
        </w:rPr>
      </w:pPr>
      <w:r w:rsidRPr="00645295">
        <w:t xml:space="preserve">Oslo, </w:t>
      </w:r>
      <w:r w:rsidR="00456832">
        <w:t>1</w:t>
      </w:r>
      <w:r w:rsidR="008D7205">
        <w:t>4</w:t>
      </w:r>
      <w:r w:rsidRPr="00645295">
        <w:t>.</w:t>
      </w:r>
      <w:r w:rsidR="007A6A45" w:rsidRPr="00645295">
        <w:t>1</w:t>
      </w:r>
      <w:r w:rsidR="006F6574" w:rsidRPr="00645295">
        <w:t>2</w:t>
      </w:r>
      <w:r w:rsidRPr="00645295">
        <w:t>.</w:t>
      </w:r>
      <w:r w:rsidR="007A6A45" w:rsidRPr="00645295">
        <w:t>2011</w:t>
      </w:r>
    </w:p>
    <w:sectPr w:rsidR="0017751A" w:rsidRPr="00645295" w:rsidSect="00E03ABD">
      <w:headerReference w:type="even" r:id="rId9"/>
      <w:headerReference w:type="default" r:id="rId10"/>
      <w:footerReference w:type="even" r:id="rId11"/>
      <w:footerReference w:type="default" r:id="rId12"/>
      <w:headerReference w:type="first" r:id="rId13"/>
      <w:footerReference w:type="first" r:id="rId14"/>
      <w:pgSz w:w="11906" w:h="16838" w:code="9"/>
      <w:pgMar w:top="1843" w:right="1134" w:bottom="2268" w:left="1134" w:header="62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ABD" w:rsidRDefault="00E03ABD" w:rsidP="006F2626">
      <w:pPr>
        <w:spacing w:after="0" w:line="240" w:lineRule="auto"/>
      </w:pPr>
      <w:r>
        <w:separator/>
      </w:r>
    </w:p>
  </w:endnote>
  <w:endnote w:type="continuationSeparator" w:id="0">
    <w:p w:rsidR="00E03ABD" w:rsidRDefault="00E03ABD" w:rsidP="006F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258" w:rsidRDefault="005942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1C4" w:rsidRPr="004416D1" w:rsidRDefault="000711C4" w:rsidP="00856A20">
    <w:pPr>
      <w:pStyle w:val="Footer"/>
      <w:ind w:left="2551"/>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1C4" w:rsidRPr="00296BD0" w:rsidRDefault="00187FD3" w:rsidP="00442F10">
    <w:pPr>
      <w:pStyle w:val="Footer"/>
      <w:ind w:left="2552"/>
    </w:pPr>
    <w:r>
      <w:rPr>
        <w:rFonts w:ascii="Georgia" w:hAnsi="Georgia"/>
        <w:b/>
        <w:noProof/>
        <w:sz w:val="18"/>
        <w:szCs w:val="18"/>
        <w:lang w:eastAsia="zh-CN"/>
      </w:rPr>
      <w:drawing>
        <wp:anchor distT="0" distB="0" distL="114300" distR="114300" simplePos="0" relativeHeight="251657728" behindDoc="1" locked="0" layoutInCell="1" allowOverlap="1">
          <wp:simplePos x="0" y="0"/>
          <wp:positionH relativeFrom="page">
            <wp:posOffset>824865</wp:posOffset>
          </wp:positionH>
          <wp:positionV relativeFrom="page">
            <wp:posOffset>9530080</wp:posOffset>
          </wp:positionV>
          <wp:extent cx="762000" cy="762000"/>
          <wp:effectExtent l="19050" t="0" r="0" b="0"/>
          <wp:wrapNone/>
          <wp:docPr id="1" name="Picture 6" descr="UnivOsloensis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vOsloensis_frame.eps"/>
                  <pic:cNvPicPr>
                    <a:picLocks noChangeAspect="1" noChangeArrowheads="1"/>
                  </pic:cNvPicPr>
                </pic:nvPicPr>
                <pic:blipFill>
                  <a:blip r:embed="rId1"/>
                  <a:srcRect/>
                  <a:stretch>
                    <a:fillRect/>
                  </a:stretch>
                </pic:blipFill>
                <pic:spPr bwMode="auto">
                  <a:xfrm>
                    <a:off x="0" y="0"/>
                    <a:ext cx="762000" cy="7620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ABD" w:rsidRDefault="00E03ABD" w:rsidP="006F2626">
      <w:pPr>
        <w:spacing w:after="0" w:line="240" w:lineRule="auto"/>
      </w:pPr>
      <w:r>
        <w:separator/>
      </w:r>
    </w:p>
  </w:footnote>
  <w:footnote w:type="continuationSeparator" w:id="0">
    <w:p w:rsidR="00E03ABD" w:rsidRDefault="00E03ABD" w:rsidP="006F26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258" w:rsidRDefault="005942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64" w:type="dxa"/>
      <w:tblLook w:val="04A0" w:firstRow="1" w:lastRow="0" w:firstColumn="1" w:lastColumn="0" w:noHBand="0" w:noVBand="1"/>
    </w:tblPr>
    <w:tblGrid>
      <w:gridCol w:w="8890"/>
    </w:tblGrid>
    <w:tr w:rsidR="006E7807" w:rsidRPr="00CB1F83" w:rsidTr="00C54DBB">
      <w:tc>
        <w:tcPr>
          <w:tcW w:w="8890" w:type="dxa"/>
        </w:tcPr>
        <w:p w:rsidR="006E7807" w:rsidRPr="00CB1F83" w:rsidRDefault="006E7807" w:rsidP="00C54DBB">
          <w:pPr>
            <w:pStyle w:val="Topptekstlinje1"/>
          </w:pPr>
          <w:r>
            <w:t>Det juridiske fakultet</w:t>
          </w:r>
          <w:r>
            <w:rPr>
              <w:b w:val="0"/>
              <w:noProof/>
              <w:lang w:eastAsia="zh-CN"/>
            </w:rPr>
            <w:drawing>
              <wp:anchor distT="0" distB="0" distL="114300" distR="114300" simplePos="0" relativeHeight="251659776" behindDoc="1" locked="1" layoutInCell="1" allowOverlap="1">
                <wp:simplePos x="0" y="0"/>
                <wp:positionH relativeFrom="page">
                  <wp:posOffset>-570230</wp:posOffset>
                </wp:positionH>
                <wp:positionV relativeFrom="page">
                  <wp:posOffset>13335</wp:posOffset>
                </wp:positionV>
                <wp:extent cx="561340" cy="182880"/>
                <wp:effectExtent l="19050" t="0" r="0" b="0"/>
                <wp:wrapNone/>
                <wp:docPr id="6" name="Picture 1" descr="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O_RED_frame.eps"/>
                        <pic:cNvPicPr>
                          <a:picLocks noChangeAspect="1" noChangeArrowheads="1"/>
                        </pic:cNvPicPr>
                      </pic:nvPicPr>
                      <pic:blipFill>
                        <a:blip r:embed="rId1"/>
                        <a:srcRect/>
                        <a:stretch>
                          <a:fillRect/>
                        </a:stretch>
                      </pic:blipFill>
                      <pic:spPr bwMode="auto">
                        <a:xfrm>
                          <a:off x="0" y="0"/>
                          <a:ext cx="561340" cy="182880"/>
                        </a:xfrm>
                        <a:prstGeom prst="rect">
                          <a:avLst/>
                        </a:prstGeom>
                        <a:noFill/>
                        <a:ln w="9525">
                          <a:noFill/>
                          <a:miter lim="800000"/>
                          <a:headEnd/>
                          <a:tailEnd/>
                        </a:ln>
                      </pic:spPr>
                    </pic:pic>
                  </a:graphicData>
                </a:graphic>
              </wp:anchor>
            </w:drawing>
          </w:r>
        </w:p>
      </w:tc>
    </w:tr>
    <w:tr w:rsidR="006E7807" w:rsidTr="00C54DBB">
      <w:tc>
        <w:tcPr>
          <w:tcW w:w="8890" w:type="dxa"/>
        </w:tcPr>
        <w:p w:rsidR="006E7807" w:rsidRDefault="006E7807" w:rsidP="00C54DBB">
          <w:pPr>
            <w:pStyle w:val="Topptekstlinje2"/>
          </w:pPr>
          <w:r>
            <w:t>Universitetet i Oslo</w:t>
          </w:r>
        </w:p>
      </w:tc>
    </w:tr>
  </w:tbl>
  <w:sdt>
    <w:sdtPr>
      <w:rPr>
        <w:sz w:val="18"/>
        <w:szCs w:val="18"/>
      </w:rPr>
      <w:id w:val="2027592570"/>
      <w:docPartObj>
        <w:docPartGallery w:val="Page Numbers (Top of Page)"/>
        <w:docPartUnique/>
      </w:docPartObj>
    </w:sdtPr>
    <w:sdtEndPr>
      <w:rPr>
        <w:rFonts w:ascii="Georgia" w:hAnsi="Georgia"/>
      </w:rPr>
    </w:sdtEndPr>
    <w:sdtContent>
      <w:p w:rsidR="000711C4" w:rsidRPr="0017751A" w:rsidRDefault="006E7807" w:rsidP="006E7807">
        <w:pPr>
          <w:pStyle w:val="Header"/>
          <w:jc w:val="right"/>
          <w:rPr>
            <w:rFonts w:ascii="Georgia" w:hAnsi="Georgia"/>
            <w:sz w:val="18"/>
            <w:szCs w:val="18"/>
          </w:rPr>
        </w:pPr>
        <w:r w:rsidRPr="0017751A">
          <w:rPr>
            <w:rFonts w:ascii="Georgia" w:hAnsi="Georgia"/>
            <w:sz w:val="18"/>
            <w:szCs w:val="18"/>
          </w:rPr>
          <w:t xml:space="preserve">Side </w:t>
        </w:r>
        <w:r w:rsidR="006F5379" w:rsidRPr="0017751A">
          <w:rPr>
            <w:rFonts w:ascii="Georgia" w:hAnsi="Georgia"/>
            <w:bCs/>
            <w:sz w:val="18"/>
            <w:szCs w:val="18"/>
          </w:rPr>
          <w:fldChar w:fldCharType="begin"/>
        </w:r>
        <w:r w:rsidRPr="0017751A">
          <w:rPr>
            <w:rFonts w:ascii="Georgia" w:hAnsi="Georgia"/>
            <w:bCs/>
            <w:sz w:val="18"/>
            <w:szCs w:val="18"/>
          </w:rPr>
          <w:instrText>PAGE</w:instrText>
        </w:r>
        <w:r w:rsidR="006F5379" w:rsidRPr="0017751A">
          <w:rPr>
            <w:rFonts w:ascii="Georgia" w:hAnsi="Georgia"/>
            <w:bCs/>
            <w:sz w:val="18"/>
            <w:szCs w:val="18"/>
          </w:rPr>
          <w:fldChar w:fldCharType="separate"/>
        </w:r>
        <w:r w:rsidR="00881C08">
          <w:rPr>
            <w:rFonts w:ascii="Georgia" w:hAnsi="Georgia"/>
            <w:bCs/>
            <w:noProof/>
            <w:sz w:val="18"/>
            <w:szCs w:val="18"/>
          </w:rPr>
          <w:t>2</w:t>
        </w:r>
        <w:r w:rsidR="006F5379" w:rsidRPr="0017751A">
          <w:rPr>
            <w:rFonts w:ascii="Georgia" w:hAnsi="Georgia"/>
            <w:bCs/>
            <w:sz w:val="18"/>
            <w:szCs w:val="18"/>
          </w:rPr>
          <w:fldChar w:fldCharType="end"/>
        </w:r>
        <w:r w:rsidRPr="0017751A">
          <w:rPr>
            <w:rFonts w:ascii="Georgia" w:hAnsi="Georgia"/>
            <w:sz w:val="18"/>
            <w:szCs w:val="18"/>
          </w:rPr>
          <w:t xml:space="preserve"> av </w:t>
        </w:r>
        <w:r w:rsidR="00594258">
          <w:rPr>
            <w:rFonts w:ascii="Georgia" w:hAnsi="Georgia"/>
            <w:bCs/>
            <w:sz w:val="18"/>
            <w:szCs w:val="18"/>
          </w:rPr>
          <w:t>2</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64" w:type="dxa"/>
      <w:tblLook w:val="04A0" w:firstRow="1" w:lastRow="0" w:firstColumn="1" w:lastColumn="0" w:noHBand="0" w:noVBand="1"/>
    </w:tblPr>
    <w:tblGrid>
      <w:gridCol w:w="8890"/>
    </w:tblGrid>
    <w:tr w:rsidR="000711C4" w:rsidRPr="00CB1F83" w:rsidTr="005F6C42">
      <w:tc>
        <w:tcPr>
          <w:tcW w:w="8890" w:type="dxa"/>
        </w:tcPr>
        <w:p w:rsidR="000711C4" w:rsidRPr="00CB1F83" w:rsidRDefault="00A24C6D" w:rsidP="00340EA5">
          <w:pPr>
            <w:pStyle w:val="Topptekstlinje1"/>
          </w:pPr>
          <w:bookmarkStart w:id="3" w:name="ADMBETEGNELSE_2R"/>
          <w:r>
            <w:t>Det juridiske fakultet</w:t>
          </w:r>
          <w:bookmarkEnd w:id="3"/>
          <w:r w:rsidR="00187FD3">
            <w:rPr>
              <w:b w:val="0"/>
              <w:noProof/>
              <w:lang w:eastAsia="zh-CN"/>
            </w:rPr>
            <w:drawing>
              <wp:anchor distT="0" distB="0" distL="114300" distR="114300" simplePos="0" relativeHeight="251656704" behindDoc="1" locked="1" layoutInCell="1" allowOverlap="1" wp14:anchorId="71AF3425" wp14:editId="6970751C">
                <wp:simplePos x="0" y="0"/>
                <wp:positionH relativeFrom="page">
                  <wp:posOffset>-570230</wp:posOffset>
                </wp:positionH>
                <wp:positionV relativeFrom="page">
                  <wp:posOffset>13335</wp:posOffset>
                </wp:positionV>
                <wp:extent cx="561340" cy="182880"/>
                <wp:effectExtent l="19050" t="0" r="0" b="0"/>
                <wp:wrapNone/>
                <wp:docPr id="4" name="Picture 1" descr="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O_RED_frame.eps"/>
                        <pic:cNvPicPr>
                          <a:picLocks noChangeAspect="1" noChangeArrowheads="1"/>
                        </pic:cNvPicPr>
                      </pic:nvPicPr>
                      <pic:blipFill>
                        <a:blip r:embed="rId1"/>
                        <a:srcRect/>
                        <a:stretch>
                          <a:fillRect/>
                        </a:stretch>
                      </pic:blipFill>
                      <pic:spPr bwMode="auto">
                        <a:xfrm>
                          <a:off x="0" y="0"/>
                          <a:ext cx="561340" cy="182880"/>
                        </a:xfrm>
                        <a:prstGeom prst="rect">
                          <a:avLst/>
                        </a:prstGeom>
                        <a:noFill/>
                        <a:ln w="9525">
                          <a:noFill/>
                          <a:miter lim="800000"/>
                          <a:headEnd/>
                          <a:tailEnd/>
                        </a:ln>
                      </pic:spPr>
                    </pic:pic>
                  </a:graphicData>
                </a:graphic>
              </wp:anchor>
            </w:drawing>
          </w:r>
        </w:p>
      </w:tc>
    </w:tr>
    <w:tr w:rsidR="000711C4" w:rsidTr="005F6C42">
      <w:tc>
        <w:tcPr>
          <w:tcW w:w="8890" w:type="dxa"/>
        </w:tcPr>
        <w:p w:rsidR="000711C4" w:rsidRDefault="00A24C6D" w:rsidP="00FB462F">
          <w:pPr>
            <w:pStyle w:val="Topptekstlinje2"/>
          </w:pPr>
          <w:bookmarkStart w:id="4" w:name="ADMBETEGNELSE_1R"/>
          <w:r>
            <w:t>Universitetet i Oslo</w:t>
          </w:r>
          <w:bookmarkEnd w:id="4"/>
        </w:p>
      </w:tc>
    </w:tr>
  </w:tbl>
  <w:sdt>
    <w:sdtPr>
      <w:rPr>
        <w:sz w:val="18"/>
        <w:szCs w:val="18"/>
      </w:rPr>
      <w:id w:val="1477648756"/>
      <w:docPartObj>
        <w:docPartGallery w:val="Page Numbers (Top of Page)"/>
        <w:docPartUnique/>
      </w:docPartObj>
    </w:sdtPr>
    <w:sdtEndPr>
      <w:rPr>
        <w:rFonts w:ascii="Georgia" w:hAnsi="Georgia"/>
      </w:rPr>
    </w:sdtEndPr>
    <w:sdtContent>
      <w:p w:rsidR="006E7807" w:rsidRPr="0017751A" w:rsidRDefault="006E7807" w:rsidP="006E7807">
        <w:pPr>
          <w:pStyle w:val="Header"/>
          <w:jc w:val="right"/>
          <w:rPr>
            <w:rFonts w:ascii="Georgia" w:hAnsi="Georgia"/>
            <w:sz w:val="18"/>
            <w:szCs w:val="18"/>
          </w:rPr>
        </w:pPr>
        <w:r w:rsidRPr="0017751A">
          <w:rPr>
            <w:rFonts w:ascii="Georgia" w:hAnsi="Georgia"/>
            <w:sz w:val="18"/>
            <w:szCs w:val="18"/>
          </w:rPr>
          <w:t xml:space="preserve">Side </w:t>
        </w:r>
        <w:r w:rsidR="006F5379" w:rsidRPr="0017751A">
          <w:rPr>
            <w:rFonts w:ascii="Georgia" w:hAnsi="Georgia"/>
            <w:bCs/>
            <w:sz w:val="18"/>
            <w:szCs w:val="18"/>
          </w:rPr>
          <w:fldChar w:fldCharType="begin"/>
        </w:r>
        <w:r w:rsidRPr="0017751A">
          <w:rPr>
            <w:rFonts w:ascii="Georgia" w:hAnsi="Georgia"/>
            <w:bCs/>
            <w:sz w:val="18"/>
            <w:szCs w:val="18"/>
          </w:rPr>
          <w:instrText>PAGE</w:instrText>
        </w:r>
        <w:r w:rsidR="006F5379" w:rsidRPr="0017751A">
          <w:rPr>
            <w:rFonts w:ascii="Georgia" w:hAnsi="Georgia"/>
            <w:bCs/>
            <w:sz w:val="18"/>
            <w:szCs w:val="18"/>
          </w:rPr>
          <w:fldChar w:fldCharType="separate"/>
        </w:r>
        <w:r w:rsidR="00881C08">
          <w:rPr>
            <w:rFonts w:ascii="Georgia" w:hAnsi="Georgia"/>
            <w:bCs/>
            <w:noProof/>
            <w:sz w:val="18"/>
            <w:szCs w:val="18"/>
          </w:rPr>
          <w:t>1</w:t>
        </w:r>
        <w:r w:rsidR="006F5379" w:rsidRPr="0017751A">
          <w:rPr>
            <w:rFonts w:ascii="Georgia" w:hAnsi="Georgia"/>
            <w:bCs/>
            <w:sz w:val="18"/>
            <w:szCs w:val="18"/>
          </w:rPr>
          <w:fldChar w:fldCharType="end"/>
        </w:r>
        <w:r w:rsidRPr="0017751A">
          <w:rPr>
            <w:rFonts w:ascii="Georgia" w:hAnsi="Georgia"/>
            <w:sz w:val="18"/>
            <w:szCs w:val="18"/>
          </w:rPr>
          <w:t xml:space="preserve"> av </w:t>
        </w:r>
        <w:r w:rsidR="006F5379" w:rsidRPr="0017751A">
          <w:rPr>
            <w:rFonts w:ascii="Georgia" w:hAnsi="Georgia"/>
            <w:bCs/>
            <w:sz w:val="18"/>
            <w:szCs w:val="18"/>
          </w:rPr>
          <w:fldChar w:fldCharType="begin"/>
        </w:r>
        <w:r w:rsidRPr="0017751A">
          <w:rPr>
            <w:rFonts w:ascii="Georgia" w:hAnsi="Georgia"/>
            <w:bCs/>
            <w:sz w:val="18"/>
            <w:szCs w:val="18"/>
          </w:rPr>
          <w:instrText>NUMPAGES</w:instrText>
        </w:r>
        <w:r w:rsidR="006F5379" w:rsidRPr="0017751A">
          <w:rPr>
            <w:rFonts w:ascii="Georgia" w:hAnsi="Georgia"/>
            <w:bCs/>
            <w:sz w:val="18"/>
            <w:szCs w:val="18"/>
          </w:rPr>
          <w:fldChar w:fldCharType="separate"/>
        </w:r>
        <w:r w:rsidR="00881C08">
          <w:rPr>
            <w:rFonts w:ascii="Georgia" w:hAnsi="Georgia"/>
            <w:bCs/>
            <w:noProof/>
            <w:sz w:val="18"/>
            <w:szCs w:val="18"/>
          </w:rPr>
          <w:t>2</w:t>
        </w:r>
        <w:r w:rsidR="006F5379" w:rsidRPr="0017751A">
          <w:rPr>
            <w:rFonts w:ascii="Georgia" w:hAnsi="Georgia"/>
            <w:bCs/>
            <w:sz w:val="18"/>
            <w:szCs w:val="18"/>
          </w:rPr>
          <w:fldChar w:fldCharType="end"/>
        </w:r>
      </w:p>
    </w:sdtContent>
  </w:sdt>
  <w:p w:rsidR="000711C4" w:rsidRPr="00AA7420" w:rsidRDefault="000711C4" w:rsidP="00442F10">
    <w:pPr>
      <w:pStyle w:val="Header"/>
      <w:ind w:left="964"/>
      <w:rPr>
        <w:rFonts w:ascii="Georgia" w:hAnsi="Georg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B3A35"/>
    <w:multiLevelType w:val="hybridMultilevel"/>
    <w:tmpl w:val="A018691E"/>
    <w:lvl w:ilvl="0" w:tplc="46CC759E">
      <w:start w:val="1"/>
      <w:numFmt w:val="decimal"/>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nsid w:val="1DBE267F"/>
    <w:multiLevelType w:val="hybridMultilevel"/>
    <w:tmpl w:val="16681684"/>
    <w:lvl w:ilvl="0" w:tplc="0D0CE6FE">
      <w:start w:val="1"/>
      <w:numFmt w:val="decimal"/>
      <w:lvlText w:val="%1"/>
      <w:lvlJc w:val="left"/>
      <w:pPr>
        <w:tabs>
          <w:tab w:val="num" w:pos="1065"/>
        </w:tabs>
        <w:ind w:left="1065" w:hanging="705"/>
      </w:pPr>
      <w:rPr>
        <w:rFonts w:ascii="Times New Roman" w:eastAsia="Times New Roman" w:hAnsi="Times New Roman" w:cs="Times New Roman"/>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nsid w:val="25F31634"/>
    <w:multiLevelType w:val="hybridMultilevel"/>
    <w:tmpl w:val="1DB88B4E"/>
    <w:lvl w:ilvl="0" w:tplc="505414A4">
      <w:start w:val="1"/>
      <w:numFmt w:val="decimal"/>
      <w:lvlText w:val="%1."/>
      <w:lvlJc w:val="left"/>
      <w:pPr>
        <w:ind w:left="720" w:hanging="360"/>
      </w:pPr>
      <w:rPr>
        <w:rFonts w:hint="default"/>
        <w:b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561E1D"/>
    <w:multiLevelType w:val="hybridMultilevel"/>
    <w:tmpl w:val="318070D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641C45A2"/>
    <w:multiLevelType w:val="hybridMultilevel"/>
    <w:tmpl w:val="39EC632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nsid w:val="67B84007"/>
    <w:multiLevelType w:val="hybridMultilevel"/>
    <w:tmpl w:val="612A0BA8"/>
    <w:lvl w:ilvl="0" w:tplc="BB541D2C">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readOnly" w:enforcement="0"/>
  <w:defaultTabStop w:val="709"/>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ABD"/>
    <w:rsid w:val="00025304"/>
    <w:rsid w:val="00032347"/>
    <w:rsid w:val="00040733"/>
    <w:rsid w:val="000532F9"/>
    <w:rsid w:val="000711C4"/>
    <w:rsid w:val="000838D4"/>
    <w:rsid w:val="000A3C5F"/>
    <w:rsid w:val="000C0929"/>
    <w:rsid w:val="000C378F"/>
    <w:rsid w:val="000C5ED5"/>
    <w:rsid w:val="000D114A"/>
    <w:rsid w:val="000D26AD"/>
    <w:rsid w:val="000E51CC"/>
    <w:rsid w:val="000E66F6"/>
    <w:rsid w:val="00121A68"/>
    <w:rsid w:val="00147EC9"/>
    <w:rsid w:val="0017751A"/>
    <w:rsid w:val="00187FD3"/>
    <w:rsid w:val="001A43FF"/>
    <w:rsid w:val="001A63F3"/>
    <w:rsid w:val="001B6462"/>
    <w:rsid w:val="001C3144"/>
    <w:rsid w:val="001C53D1"/>
    <w:rsid w:val="001D5FAD"/>
    <w:rsid w:val="001D65A6"/>
    <w:rsid w:val="001E1FD6"/>
    <w:rsid w:val="001F2CDA"/>
    <w:rsid w:val="001F6E08"/>
    <w:rsid w:val="00202A26"/>
    <w:rsid w:val="0020706A"/>
    <w:rsid w:val="00224EE4"/>
    <w:rsid w:val="002308E6"/>
    <w:rsid w:val="00245C77"/>
    <w:rsid w:val="002535E6"/>
    <w:rsid w:val="00262EDB"/>
    <w:rsid w:val="00271AB6"/>
    <w:rsid w:val="00291796"/>
    <w:rsid w:val="00296BD0"/>
    <w:rsid w:val="002A4945"/>
    <w:rsid w:val="002A664E"/>
    <w:rsid w:val="002C0398"/>
    <w:rsid w:val="002C1BB8"/>
    <w:rsid w:val="002E52AC"/>
    <w:rsid w:val="002F4F99"/>
    <w:rsid w:val="003157B3"/>
    <w:rsid w:val="0031741E"/>
    <w:rsid w:val="00325B49"/>
    <w:rsid w:val="0032641E"/>
    <w:rsid w:val="00326DE7"/>
    <w:rsid w:val="00332A21"/>
    <w:rsid w:val="00340EA5"/>
    <w:rsid w:val="00360E19"/>
    <w:rsid w:val="00381B02"/>
    <w:rsid w:val="00385FD5"/>
    <w:rsid w:val="0038680F"/>
    <w:rsid w:val="003A733F"/>
    <w:rsid w:val="003B4B8A"/>
    <w:rsid w:val="003D217B"/>
    <w:rsid w:val="003F7605"/>
    <w:rsid w:val="004111DD"/>
    <w:rsid w:val="00412561"/>
    <w:rsid w:val="004213D6"/>
    <w:rsid w:val="00432910"/>
    <w:rsid w:val="004416D1"/>
    <w:rsid w:val="00442F10"/>
    <w:rsid w:val="00456832"/>
    <w:rsid w:val="00471DAC"/>
    <w:rsid w:val="00472B98"/>
    <w:rsid w:val="00483FE9"/>
    <w:rsid w:val="004A1052"/>
    <w:rsid w:val="004B6046"/>
    <w:rsid w:val="004D63A6"/>
    <w:rsid w:val="004E09C9"/>
    <w:rsid w:val="004E10D2"/>
    <w:rsid w:val="004E69B4"/>
    <w:rsid w:val="004F44DB"/>
    <w:rsid w:val="00503DE0"/>
    <w:rsid w:val="00507BAE"/>
    <w:rsid w:val="0051239B"/>
    <w:rsid w:val="0053482F"/>
    <w:rsid w:val="005375B5"/>
    <w:rsid w:val="00542E12"/>
    <w:rsid w:val="005544BA"/>
    <w:rsid w:val="00555487"/>
    <w:rsid w:val="005669BB"/>
    <w:rsid w:val="005747FB"/>
    <w:rsid w:val="005775EB"/>
    <w:rsid w:val="00582B29"/>
    <w:rsid w:val="00594258"/>
    <w:rsid w:val="005B3657"/>
    <w:rsid w:val="005E0D18"/>
    <w:rsid w:val="005F6C42"/>
    <w:rsid w:val="00601F3F"/>
    <w:rsid w:val="00624A1D"/>
    <w:rsid w:val="00630C2C"/>
    <w:rsid w:val="00637134"/>
    <w:rsid w:val="00640F48"/>
    <w:rsid w:val="00645295"/>
    <w:rsid w:val="00646C8D"/>
    <w:rsid w:val="006513AB"/>
    <w:rsid w:val="0069792F"/>
    <w:rsid w:val="006B2A25"/>
    <w:rsid w:val="006C4552"/>
    <w:rsid w:val="006D130E"/>
    <w:rsid w:val="006E7807"/>
    <w:rsid w:val="006F2626"/>
    <w:rsid w:val="006F5379"/>
    <w:rsid w:val="006F6574"/>
    <w:rsid w:val="00707411"/>
    <w:rsid w:val="007165D3"/>
    <w:rsid w:val="0072108B"/>
    <w:rsid w:val="007322A0"/>
    <w:rsid w:val="00737E2C"/>
    <w:rsid w:val="00751529"/>
    <w:rsid w:val="0076588D"/>
    <w:rsid w:val="0076606E"/>
    <w:rsid w:val="00783D0C"/>
    <w:rsid w:val="00784541"/>
    <w:rsid w:val="0079611C"/>
    <w:rsid w:val="007A1956"/>
    <w:rsid w:val="007A5E67"/>
    <w:rsid w:val="007A6A45"/>
    <w:rsid w:val="007C6880"/>
    <w:rsid w:val="007E4DBD"/>
    <w:rsid w:val="007E5442"/>
    <w:rsid w:val="007F1A02"/>
    <w:rsid w:val="007F240E"/>
    <w:rsid w:val="008338CB"/>
    <w:rsid w:val="008405D6"/>
    <w:rsid w:val="00856A20"/>
    <w:rsid w:val="008766DC"/>
    <w:rsid w:val="00881C08"/>
    <w:rsid w:val="00883A2A"/>
    <w:rsid w:val="008C16CE"/>
    <w:rsid w:val="008C43B7"/>
    <w:rsid w:val="008D4F3B"/>
    <w:rsid w:val="008D547F"/>
    <w:rsid w:val="008D7205"/>
    <w:rsid w:val="00900188"/>
    <w:rsid w:val="00914663"/>
    <w:rsid w:val="00921DBC"/>
    <w:rsid w:val="00930646"/>
    <w:rsid w:val="00932FA4"/>
    <w:rsid w:val="0095053A"/>
    <w:rsid w:val="0096155B"/>
    <w:rsid w:val="00966C18"/>
    <w:rsid w:val="00966E32"/>
    <w:rsid w:val="009747CE"/>
    <w:rsid w:val="00982A88"/>
    <w:rsid w:val="00985D89"/>
    <w:rsid w:val="00985D9C"/>
    <w:rsid w:val="009A2881"/>
    <w:rsid w:val="009D4C81"/>
    <w:rsid w:val="009E7795"/>
    <w:rsid w:val="009F2505"/>
    <w:rsid w:val="00A14748"/>
    <w:rsid w:val="00A24C6D"/>
    <w:rsid w:val="00A40D47"/>
    <w:rsid w:val="00A4466F"/>
    <w:rsid w:val="00A46423"/>
    <w:rsid w:val="00A62B82"/>
    <w:rsid w:val="00A7494C"/>
    <w:rsid w:val="00A83BEE"/>
    <w:rsid w:val="00A93757"/>
    <w:rsid w:val="00AA7420"/>
    <w:rsid w:val="00AB4890"/>
    <w:rsid w:val="00AC4272"/>
    <w:rsid w:val="00AE46FF"/>
    <w:rsid w:val="00AE6604"/>
    <w:rsid w:val="00B43027"/>
    <w:rsid w:val="00B54E6B"/>
    <w:rsid w:val="00B61B99"/>
    <w:rsid w:val="00B74C8D"/>
    <w:rsid w:val="00B93ADD"/>
    <w:rsid w:val="00B96B59"/>
    <w:rsid w:val="00BB5CDD"/>
    <w:rsid w:val="00BE2551"/>
    <w:rsid w:val="00C1524A"/>
    <w:rsid w:val="00C23CF2"/>
    <w:rsid w:val="00C247D6"/>
    <w:rsid w:val="00C37D1F"/>
    <w:rsid w:val="00C4025E"/>
    <w:rsid w:val="00C80F67"/>
    <w:rsid w:val="00C820B6"/>
    <w:rsid w:val="00C91389"/>
    <w:rsid w:val="00CD16CE"/>
    <w:rsid w:val="00CD188B"/>
    <w:rsid w:val="00CE4231"/>
    <w:rsid w:val="00D20E31"/>
    <w:rsid w:val="00D60ECA"/>
    <w:rsid w:val="00D6207B"/>
    <w:rsid w:val="00DA527E"/>
    <w:rsid w:val="00DA53D0"/>
    <w:rsid w:val="00DB5AB2"/>
    <w:rsid w:val="00DC0C57"/>
    <w:rsid w:val="00DC1458"/>
    <w:rsid w:val="00DC459E"/>
    <w:rsid w:val="00DC6F17"/>
    <w:rsid w:val="00DD1C40"/>
    <w:rsid w:val="00DD2378"/>
    <w:rsid w:val="00DE0893"/>
    <w:rsid w:val="00DE181B"/>
    <w:rsid w:val="00DE293E"/>
    <w:rsid w:val="00DF097B"/>
    <w:rsid w:val="00E03ABD"/>
    <w:rsid w:val="00E46F6F"/>
    <w:rsid w:val="00E77FDC"/>
    <w:rsid w:val="00E90940"/>
    <w:rsid w:val="00EA1493"/>
    <w:rsid w:val="00EA466B"/>
    <w:rsid w:val="00EB6128"/>
    <w:rsid w:val="00EC503D"/>
    <w:rsid w:val="00ED11A8"/>
    <w:rsid w:val="00ED345C"/>
    <w:rsid w:val="00ED5DF9"/>
    <w:rsid w:val="00EE6F9C"/>
    <w:rsid w:val="00EF541D"/>
    <w:rsid w:val="00F00100"/>
    <w:rsid w:val="00F26702"/>
    <w:rsid w:val="00F332BD"/>
    <w:rsid w:val="00F54A1E"/>
    <w:rsid w:val="00F56919"/>
    <w:rsid w:val="00F61E56"/>
    <w:rsid w:val="00F81A38"/>
    <w:rsid w:val="00FA06C0"/>
    <w:rsid w:val="00FA08E6"/>
    <w:rsid w:val="00FB462F"/>
    <w:rsid w:val="00FD4641"/>
    <w:rsid w:val="00FE4166"/>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b-NO" w:eastAsia="nb-NO" w:bidi="ar-SA"/>
      </w:rPr>
    </w:rPrDefault>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unhideWhenUsed="1"/>
    <w:lsdException w:name="Normal Indent" w:uiPriority="0"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semiHidden/>
    <w:qFormat/>
    <w:rsid w:val="0032641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C77"/>
    <w:rPr>
      <w:rFonts w:ascii="Tahoma" w:hAnsi="Tahoma" w:cs="Tahoma"/>
      <w:sz w:val="16"/>
      <w:szCs w:val="16"/>
    </w:rPr>
  </w:style>
  <w:style w:type="paragraph" w:styleId="Header">
    <w:name w:val="header"/>
    <w:basedOn w:val="Normal"/>
    <w:link w:val="HeaderChar"/>
    <w:uiPriority w:val="99"/>
    <w:rsid w:val="006F26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A1493"/>
    <w:rPr>
      <w:sz w:val="22"/>
      <w:szCs w:val="22"/>
      <w:lang w:eastAsia="en-US"/>
    </w:rPr>
  </w:style>
  <w:style w:type="paragraph" w:styleId="Footer">
    <w:name w:val="footer"/>
    <w:basedOn w:val="Normal"/>
    <w:link w:val="FooterChar"/>
    <w:uiPriority w:val="99"/>
    <w:unhideWhenUsed/>
    <w:rsid w:val="006F26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2626"/>
  </w:style>
  <w:style w:type="table" w:styleId="TableGrid">
    <w:name w:val="Table Grid"/>
    <w:basedOn w:val="TableNormal"/>
    <w:uiPriority w:val="59"/>
    <w:rsid w:val="00DE29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pptekstlinje1">
    <w:name w:val="Topptekst_linje1"/>
    <w:basedOn w:val="Header"/>
    <w:link w:val="Topptekstlinje1Char"/>
    <w:qFormat/>
    <w:rsid w:val="00B43027"/>
    <w:rPr>
      <w:rFonts w:ascii="Arial" w:hAnsi="Arial" w:cs="Arial"/>
      <w:b/>
      <w:sz w:val="32"/>
      <w:szCs w:val="32"/>
    </w:rPr>
  </w:style>
  <w:style w:type="paragraph" w:customStyle="1" w:styleId="Topptekstlinje2">
    <w:name w:val="Topptekst_linje2"/>
    <w:basedOn w:val="Header"/>
    <w:link w:val="Topptekstlinje2Char"/>
    <w:qFormat/>
    <w:rsid w:val="00B43027"/>
    <w:rPr>
      <w:rFonts w:ascii="Georgia" w:hAnsi="Georgia" w:cs="Arial"/>
      <w:sz w:val="24"/>
      <w:szCs w:val="24"/>
    </w:rPr>
  </w:style>
  <w:style w:type="character" w:customStyle="1" w:styleId="Topptekstlinje1Char">
    <w:name w:val="Topptekst_linje1 Char"/>
    <w:basedOn w:val="HeaderChar"/>
    <w:link w:val="Topptekstlinje1"/>
    <w:rsid w:val="00B43027"/>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rPr>
  </w:style>
  <w:style w:type="character" w:customStyle="1" w:styleId="Topptekstlinje2Char">
    <w:name w:val="Topptekst_linje2 Char"/>
    <w:basedOn w:val="Header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rPr>
  </w:style>
  <w:style w:type="character" w:customStyle="1" w:styleId="Georgia11BoldTittelChar">
    <w:name w:val="Georgia11_Bold_Tittel Char"/>
    <w:basedOn w:val="DefaultParagraphFont"/>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basedOn w:val="DefaultParagraphFont"/>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eastAsia="nb-NO"/>
    </w:rPr>
  </w:style>
  <w:style w:type="character" w:customStyle="1" w:styleId="Georgia11ItalicChar">
    <w:name w:val="Georgia11_Italic Char"/>
    <w:basedOn w:val="DefaultParagraphFont"/>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basedOn w:val="DefaultParagraphFont"/>
    <w:link w:val="Georigia9Bunntekst"/>
    <w:rsid w:val="007A5E67"/>
    <w:rPr>
      <w:rFonts w:ascii="Georgia" w:hAnsi="Georgia"/>
      <w:noProof/>
      <w:sz w:val="18"/>
      <w:szCs w:val="18"/>
    </w:rPr>
  </w:style>
  <w:style w:type="paragraph" w:customStyle="1" w:styleId="Georgia9UOff">
    <w:name w:val="Georgia9_UOff"/>
    <w:basedOn w:val="Georgia11spacing0after"/>
    <w:qFormat/>
    <w:rsid w:val="00325B49"/>
    <w:pPr>
      <w:jc w:val="right"/>
    </w:pPr>
    <w:rPr>
      <w:sz w:val="18"/>
    </w:rPr>
  </w:style>
  <w:style w:type="paragraph" w:customStyle="1" w:styleId="Georgia11spacing10after">
    <w:name w:val="Georgia11_spacing_10after"/>
    <w:basedOn w:val="Georgia11spacing0after"/>
    <w:rsid w:val="004E10D2"/>
    <w:pPr>
      <w:spacing w:after="200"/>
    </w:pPr>
  </w:style>
  <w:style w:type="character" w:styleId="PlaceholderText">
    <w:name w:val="Placeholder Text"/>
    <w:basedOn w:val="DefaultParagraphFont"/>
    <w:uiPriority w:val="99"/>
    <w:semiHidden/>
    <w:rsid w:val="009747CE"/>
    <w:rPr>
      <w:color w:val="808080"/>
    </w:rPr>
  </w:style>
  <w:style w:type="paragraph" w:customStyle="1" w:styleId="Default">
    <w:name w:val="Default"/>
    <w:rsid w:val="0017751A"/>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B54E6B"/>
    <w:pPr>
      <w:ind w:left="720"/>
      <w:contextualSpacing/>
    </w:pPr>
    <w:rPr>
      <w:rFonts w:asciiTheme="minorHAnsi" w:eastAsiaTheme="minorHAnsi" w:hAnsiTheme="minorHAnsi" w:cstheme="minorBidi"/>
      <w:lang w:val="en-US"/>
    </w:rPr>
  </w:style>
  <w:style w:type="paragraph" w:customStyle="1" w:styleId="0SEBrt106">
    <w:name w:val="0_SE_Brt_1_06"/>
    <w:rsid w:val="006F6574"/>
    <w:pPr>
      <w:spacing w:after="120" w:line="280" w:lineRule="exact"/>
      <w:jc w:val="both"/>
    </w:pPr>
    <w:rPr>
      <w:rFonts w:ascii="Times New Roman" w:eastAsia="Times New Roman" w:hAnsi="Times New Roman"/>
      <w:noProof/>
      <w:sz w:val="24"/>
      <w:lang w:val="en-US" w:eastAsia="en-US"/>
    </w:rPr>
  </w:style>
  <w:style w:type="paragraph" w:styleId="NormalIndent">
    <w:name w:val="Normal Indent"/>
    <w:basedOn w:val="Normal"/>
    <w:rsid w:val="0076606E"/>
    <w:pPr>
      <w:spacing w:after="0" w:line="360" w:lineRule="auto"/>
      <w:ind w:firstLine="720"/>
    </w:pPr>
    <w:rPr>
      <w:rFonts w:ascii="Times New Roman" w:eastAsia="SimSun" w:hAnsi="Times New Roman"/>
      <w:sz w:val="24"/>
      <w:szCs w:val="24"/>
      <w:lang w:val="en-GB"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b-NO" w:eastAsia="nb-NO" w:bidi="ar-SA"/>
      </w:rPr>
    </w:rPrDefault>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unhideWhenUsed="1"/>
    <w:lsdException w:name="Normal Indent" w:uiPriority="0"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semiHidden/>
    <w:qFormat/>
    <w:rsid w:val="0032641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C77"/>
    <w:rPr>
      <w:rFonts w:ascii="Tahoma" w:hAnsi="Tahoma" w:cs="Tahoma"/>
      <w:sz w:val="16"/>
      <w:szCs w:val="16"/>
    </w:rPr>
  </w:style>
  <w:style w:type="paragraph" w:styleId="Header">
    <w:name w:val="header"/>
    <w:basedOn w:val="Normal"/>
    <w:link w:val="HeaderChar"/>
    <w:uiPriority w:val="99"/>
    <w:rsid w:val="006F26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A1493"/>
    <w:rPr>
      <w:sz w:val="22"/>
      <w:szCs w:val="22"/>
      <w:lang w:eastAsia="en-US"/>
    </w:rPr>
  </w:style>
  <w:style w:type="paragraph" w:styleId="Footer">
    <w:name w:val="footer"/>
    <w:basedOn w:val="Normal"/>
    <w:link w:val="FooterChar"/>
    <w:uiPriority w:val="99"/>
    <w:unhideWhenUsed/>
    <w:rsid w:val="006F26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2626"/>
  </w:style>
  <w:style w:type="table" w:styleId="TableGrid">
    <w:name w:val="Table Grid"/>
    <w:basedOn w:val="TableNormal"/>
    <w:uiPriority w:val="59"/>
    <w:rsid w:val="00DE29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pptekstlinje1">
    <w:name w:val="Topptekst_linje1"/>
    <w:basedOn w:val="Header"/>
    <w:link w:val="Topptekstlinje1Char"/>
    <w:qFormat/>
    <w:rsid w:val="00B43027"/>
    <w:rPr>
      <w:rFonts w:ascii="Arial" w:hAnsi="Arial" w:cs="Arial"/>
      <w:b/>
      <w:sz w:val="32"/>
      <w:szCs w:val="32"/>
    </w:rPr>
  </w:style>
  <w:style w:type="paragraph" w:customStyle="1" w:styleId="Topptekstlinje2">
    <w:name w:val="Topptekst_linje2"/>
    <w:basedOn w:val="Header"/>
    <w:link w:val="Topptekstlinje2Char"/>
    <w:qFormat/>
    <w:rsid w:val="00B43027"/>
    <w:rPr>
      <w:rFonts w:ascii="Georgia" w:hAnsi="Georgia" w:cs="Arial"/>
      <w:sz w:val="24"/>
      <w:szCs w:val="24"/>
    </w:rPr>
  </w:style>
  <w:style w:type="character" w:customStyle="1" w:styleId="Topptekstlinje1Char">
    <w:name w:val="Topptekst_linje1 Char"/>
    <w:basedOn w:val="HeaderChar"/>
    <w:link w:val="Topptekstlinje1"/>
    <w:rsid w:val="00B43027"/>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rPr>
  </w:style>
  <w:style w:type="character" w:customStyle="1" w:styleId="Topptekstlinje2Char">
    <w:name w:val="Topptekst_linje2 Char"/>
    <w:basedOn w:val="Header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rPr>
  </w:style>
  <w:style w:type="character" w:customStyle="1" w:styleId="Georgia11BoldTittelChar">
    <w:name w:val="Georgia11_Bold_Tittel Char"/>
    <w:basedOn w:val="DefaultParagraphFont"/>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basedOn w:val="DefaultParagraphFont"/>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eastAsia="nb-NO"/>
    </w:rPr>
  </w:style>
  <w:style w:type="character" w:customStyle="1" w:styleId="Georgia11ItalicChar">
    <w:name w:val="Georgia11_Italic Char"/>
    <w:basedOn w:val="DefaultParagraphFont"/>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basedOn w:val="DefaultParagraphFont"/>
    <w:link w:val="Georigia9Bunntekst"/>
    <w:rsid w:val="007A5E67"/>
    <w:rPr>
      <w:rFonts w:ascii="Georgia" w:hAnsi="Georgia"/>
      <w:noProof/>
      <w:sz w:val="18"/>
      <w:szCs w:val="18"/>
    </w:rPr>
  </w:style>
  <w:style w:type="paragraph" w:customStyle="1" w:styleId="Georgia9UOff">
    <w:name w:val="Georgia9_UOff"/>
    <w:basedOn w:val="Georgia11spacing0after"/>
    <w:qFormat/>
    <w:rsid w:val="00325B49"/>
    <w:pPr>
      <w:jc w:val="right"/>
    </w:pPr>
    <w:rPr>
      <w:sz w:val="18"/>
    </w:rPr>
  </w:style>
  <w:style w:type="paragraph" w:customStyle="1" w:styleId="Georgia11spacing10after">
    <w:name w:val="Georgia11_spacing_10after"/>
    <w:basedOn w:val="Georgia11spacing0after"/>
    <w:rsid w:val="004E10D2"/>
    <w:pPr>
      <w:spacing w:after="200"/>
    </w:pPr>
  </w:style>
  <w:style w:type="character" w:styleId="PlaceholderText">
    <w:name w:val="Placeholder Text"/>
    <w:basedOn w:val="DefaultParagraphFont"/>
    <w:uiPriority w:val="99"/>
    <w:semiHidden/>
    <w:rsid w:val="009747CE"/>
    <w:rPr>
      <w:color w:val="808080"/>
    </w:rPr>
  </w:style>
  <w:style w:type="paragraph" w:customStyle="1" w:styleId="Default">
    <w:name w:val="Default"/>
    <w:rsid w:val="0017751A"/>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B54E6B"/>
    <w:pPr>
      <w:ind w:left="720"/>
      <w:contextualSpacing/>
    </w:pPr>
    <w:rPr>
      <w:rFonts w:asciiTheme="minorHAnsi" w:eastAsiaTheme="minorHAnsi" w:hAnsiTheme="minorHAnsi" w:cstheme="minorBidi"/>
      <w:lang w:val="en-US"/>
    </w:rPr>
  </w:style>
  <w:style w:type="paragraph" w:customStyle="1" w:styleId="0SEBrt106">
    <w:name w:val="0_SE_Brt_1_06"/>
    <w:rsid w:val="006F6574"/>
    <w:pPr>
      <w:spacing w:after="120" w:line="280" w:lineRule="exact"/>
      <w:jc w:val="both"/>
    </w:pPr>
    <w:rPr>
      <w:rFonts w:ascii="Times New Roman" w:eastAsia="Times New Roman" w:hAnsi="Times New Roman"/>
      <w:noProof/>
      <w:sz w:val="24"/>
      <w:lang w:val="en-US" w:eastAsia="en-US"/>
    </w:rPr>
  </w:style>
  <w:style w:type="paragraph" w:styleId="NormalIndent">
    <w:name w:val="Normal Indent"/>
    <w:basedOn w:val="Normal"/>
    <w:rsid w:val="0076606E"/>
    <w:pPr>
      <w:spacing w:after="0" w:line="360" w:lineRule="auto"/>
      <w:ind w:firstLine="720"/>
    </w:pPr>
    <w:rPr>
      <w:rFonts w:ascii="Times New Roman" w:eastAsia="SimSun" w:hAnsi="Times New Roman"/>
      <w:sz w:val="24"/>
      <w:szCs w:val="24"/>
      <w:lang w:val="en-GB"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07D54-B406-4FAB-B959-D67B1044D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2284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Aleksander Lorentzen</dc:creator>
  <cp:lastModifiedBy>Anne-Brit Strandset</cp:lastModifiedBy>
  <cp:revision>2</cp:revision>
  <cp:lastPrinted>2012-12-11T12:50:00Z</cp:lastPrinted>
  <dcterms:created xsi:type="dcterms:W3CDTF">2013-09-10T08:15:00Z</dcterms:created>
  <dcterms:modified xsi:type="dcterms:W3CDTF">2013-09-10T08:15:00Z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C:\ephorte\workfolder\221967_DOC.XML</vt:lpwstr>
  </property>
  <property fmtid="{D5CDD505-2E9C-101B-9397-08002B2CF9AE}" pid="3" name="CheckInType">
    <vt:lpwstr/>
  </property>
  <property fmtid="{D5CDD505-2E9C-101B-9397-08002B2CF9AE}" pid="4" name="CheckInDocForm">
    <vt:lpwstr>https://uio.ephorte.uninett.no/ePhorteWeb/shared/aspx/Default/CheckInDocForm.aspx</vt:lpwstr>
  </property>
  <property fmtid="{D5CDD505-2E9C-101B-9397-08002B2CF9AE}" pid="5" name="DokType">
    <vt:lpwstr>U</vt:lpwstr>
  </property>
  <property fmtid="{D5CDD505-2E9C-101B-9397-08002B2CF9AE}" pid="6" name="DokID">
    <vt:i4>439014</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https%3a%2f%2fuio.ephorte.uninett.no%2fePhorteWeb%2fshared%2faspx%2fDefault%2fdetails.aspx%3ff%3dViewJP%26JP_ID%3d306267%26LoadDocHandling%3dtrue</vt:lpwstr>
  </property>
  <property fmtid="{D5CDD505-2E9C-101B-9397-08002B2CF9AE}" pid="11" name="WindowName">
    <vt:lpwstr>rbottom</vt:lpwstr>
  </property>
  <property fmtid="{D5CDD505-2E9C-101B-9397-08002B2CF9AE}" pid="12" name="FileName">
    <vt:lpwstr>C%3a%5cephorte%5cworkfolder%5c221967.DOC</vt:lpwstr>
  </property>
  <property fmtid="{D5CDD505-2E9C-101B-9397-08002B2CF9AE}" pid="13" name="LinkId">
    <vt:i4>306267</vt:i4>
  </property>
</Properties>
</file>