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B7" w:rsidRDefault="00A25B44" w:rsidP="00A25B44">
      <w:pPr>
        <w:jc w:val="center"/>
        <w:rPr>
          <w:b/>
          <w:sz w:val="28"/>
          <w:szCs w:val="28"/>
        </w:rPr>
      </w:pPr>
      <w:r w:rsidRPr="00A25B44">
        <w:rPr>
          <w:b/>
          <w:sz w:val="28"/>
          <w:szCs w:val="28"/>
        </w:rPr>
        <w:t>Sensorveiledning – eksamen i Finansmarkedsrett (JUS5880) Høst 2013</w:t>
      </w:r>
    </w:p>
    <w:p w:rsidR="00A25B44" w:rsidRDefault="00A25B44" w:rsidP="00A25B44">
      <w:pPr>
        <w:jc w:val="center"/>
        <w:rPr>
          <w:b/>
          <w:sz w:val="28"/>
          <w:szCs w:val="28"/>
        </w:rPr>
      </w:pPr>
    </w:p>
    <w:p w:rsidR="00A25B44" w:rsidRDefault="00A25B44" w:rsidP="00A25B44">
      <w:pPr>
        <w:rPr>
          <w:rFonts w:ascii="Arial" w:eastAsia="Times New Roman" w:hAnsi="Arial" w:cs="Arial"/>
          <w:b/>
          <w:color w:val="2B2B2B"/>
          <w:sz w:val="19"/>
          <w:szCs w:val="19"/>
          <w:u w:val="single"/>
        </w:rPr>
      </w:pPr>
      <w:r w:rsidRPr="00A25B44">
        <w:rPr>
          <w:rFonts w:ascii="Arial" w:eastAsia="Times New Roman" w:hAnsi="Arial" w:cs="Arial"/>
          <w:b/>
          <w:color w:val="2B2B2B"/>
          <w:sz w:val="19"/>
          <w:szCs w:val="19"/>
          <w:u w:val="single"/>
        </w:rPr>
        <w:t>Innledning</w:t>
      </w:r>
      <w:r>
        <w:rPr>
          <w:rFonts w:ascii="Arial" w:eastAsia="Times New Roman" w:hAnsi="Arial" w:cs="Arial"/>
          <w:b/>
          <w:color w:val="2B2B2B"/>
          <w:sz w:val="19"/>
          <w:szCs w:val="19"/>
          <w:u w:val="single"/>
        </w:rPr>
        <w:t>:</w:t>
      </w:r>
    </w:p>
    <w:p w:rsidR="00A25B44" w:rsidRDefault="00A25B44" w:rsidP="00A25B44">
      <w:pPr>
        <w:rPr>
          <w:rFonts w:ascii="Arial" w:eastAsia="Times New Roman" w:hAnsi="Arial" w:cs="Arial"/>
          <w:color w:val="2B2B2B"/>
          <w:sz w:val="19"/>
          <w:szCs w:val="19"/>
        </w:rPr>
      </w:pPr>
      <w:r w:rsidRPr="00A25B44">
        <w:rPr>
          <w:rFonts w:ascii="Arial" w:eastAsia="Times New Roman" w:hAnsi="Arial" w:cs="Arial"/>
          <w:color w:val="2B2B2B"/>
          <w:sz w:val="19"/>
          <w:szCs w:val="19"/>
        </w:rPr>
        <w:t xml:space="preserve">Oppgaven </w:t>
      </w:r>
      <w:r>
        <w:rPr>
          <w:rFonts w:ascii="Arial" w:eastAsia="Times New Roman" w:hAnsi="Arial" w:cs="Arial"/>
          <w:color w:val="2B2B2B"/>
          <w:sz w:val="19"/>
          <w:szCs w:val="19"/>
        </w:rPr>
        <w:t xml:space="preserve">består av en tradisjonell teorioppgave. Oppgaveteksten lyder: </w:t>
      </w:r>
    </w:p>
    <w:p w:rsidR="00BF366A" w:rsidRDefault="00A25B44" w:rsidP="00A25B44">
      <w:pPr>
        <w:pStyle w:val="ListParagraph"/>
        <w:numPr>
          <w:ilvl w:val="0"/>
          <w:numId w:val="6"/>
        </w:numPr>
        <w:spacing w:after="0"/>
        <w:rPr>
          <w:rFonts w:ascii="Arial" w:eastAsia="Times New Roman" w:hAnsi="Arial" w:cs="Arial"/>
          <w:color w:val="2B2B2B"/>
          <w:sz w:val="19"/>
          <w:szCs w:val="19"/>
        </w:rPr>
      </w:pPr>
      <w:r w:rsidRPr="00BF366A">
        <w:rPr>
          <w:rFonts w:ascii="Arial" w:eastAsia="Times New Roman" w:hAnsi="Arial" w:cs="Arial"/>
          <w:color w:val="2B2B2B"/>
          <w:sz w:val="19"/>
          <w:szCs w:val="19"/>
        </w:rPr>
        <w:t>Redegjør for de viktigste hensynene som begrunner lovgivningen på finansmarkedsområdet.</w:t>
      </w:r>
    </w:p>
    <w:p w:rsidR="00BF366A" w:rsidRDefault="00A25B44" w:rsidP="00A25B44">
      <w:pPr>
        <w:pStyle w:val="ListParagraph"/>
        <w:numPr>
          <w:ilvl w:val="0"/>
          <w:numId w:val="6"/>
        </w:numPr>
        <w:spacing w:after="0"/>
        <w:rPr>
          <w:rFonts w:ascii="Arial" w:eastAsia="Times New Roman" w:hAnsi="Arial" w:cs="Arial"/>
          <w:color w:val="2B2B2B"/>
          <w:sz w:val="19"/>
          <w:szCs w:val="19"/>
        </w:rPr>
      </w:pPr>
      <w:r w:rsidRPr="00BF366A">
        <w:rPr>
          <w:rFonts w:ascii="Arial" w:eastAsia="Times New Roman" w:hAnsi="Arial" w:cs="Arial"/>
          <w:color w:val="2B2B2B"/>
          <w:sz w:val="19"/>
          <w:szCs w:val="19"/>
        </w:rPr>
        <w:t xml:space="preserve">Redegjør for hvordan ulike regler innenfor rettsområdene som er dekket av pensum er ment å bidra til oppfyllelse av de hensynene du allerede har redegjort for. </w:t>
      </w:r>
    </w:p>
    <w:p w:rsidR="00A25B44" w:rsidRPr="00BF366A" w:rsidRDefault="00A25B44" w:rsidP="00A25B44">
      <w:pPr>
        <w:pStyle w:val="ListParagraph"/>
        <w:numPr>
          <w:ilvl w:val="0"/>
          <w:numId w:val="6"/>
        </w:numPr>
        <w:spacing w:after="0"/>
        <w:rPr>
          <w:rFonts w:ascii="Arial" w:eastAsia="Times New Roman" w:hAnsi="Arial" w:cs="Arial"/>
          <w:color w:val="2B2B2B"/>
          <w:sz w:val="19"/>
          <w:szCs w:val="19"/>
        </w:rPr>
      </w:pPr>
      <w:r w:rsidRPr="00BF366A">
        <w:rPr>
          <w:rFonts w:ascii="Arial" w:eastAsia="Times New Roman" w:hAnsi="Arial" w:cs="Arial"/>
          <w:color w:val="2B2B2B"/>
          <w:sz w:val="19"/>
          <w:szCs w:val="19"/>
        </w:rPr>
        <w:t>Kan det oppstå konflikter mellom hensynene? Hvordan?</w:t>
      </w:r>
    </w:p>
    <w:p w:rsidR="00A25B44" w:rsidRDefault="00A25B44" w:rsidP="00A25B44">
      <w:pPr>
        <w:rPr>
          <w:rFonts w:ascii="Arial" w:eastAsia="Times New Roman" w:hAnsi="Arial" w:cs="Arial"/>
          <w:color w:val="2B2B2B"/>
          <w:sz w:val="19"/>
          <w:szCs w:val="19"/>
        </w:rPr>
      </w:pPr>
    </w:p>
    <w:p w:rsidR="00A25B44" w:rsidRDefault="00BF366A" w:rsidP="00A25B44">
      <w:pPr>
        <w:rPr>
          <w:rFonts w:ascii="Arial" w:eastAsia="Times New Roman" w:hAnsi="Arial" w:cs="Arial"/>
          <w:color w:val="2B2B2B"/>
          <w:sz w:val="19"/>
          <w:szCs w:val="19"/>
        </w:rPr>
      </w:pPr>
      <w:r>
        <w:rPr>
          <w:rFonts w:ascii="Arial" w:eastAsia="Times New Roman" w:hAnsi="Arial" w:cs="Arial"/>
          <w:color w:val="2B2B2B"/>
          <w:sz w:val="19"/>
          <w:szCs w:val="19"/>
        </w:rPr>
        <w:t>Det er gitt to alternative</w:t>
      </w:r>
      <w:r w:rsidRPr="003F5869">
        <w:rPr>
          <w:rFonts w:ascii="Arial" w:eastAsia="Times New Roman" w:hAnsi="Arial" w:cs="Arial"/>
          <w:color w:val="2B2B2B"/>
          <w:sz w:val="19"/>
          <w:szCs w:val="19"/>
          <w:u w:val="single"/>
        </w:rPr>
        <w:t xml:space="preserve"> </w:t>
      </w:r>
      <w:proofErr w:type="gramStart"/>
      <w:r w:rsidRPr="003F5869">
        <w:rPr>
          <w:rFonts w:ascii="Arial" w:eastAsia="Times New Roman" w:hAnsi="Arial" w:cs="Arial"/>
          <w:color w:val="2B2B2B"/>
          <w:sz w:val="19"/>
          <w:szCs w:val="19"/>
          <w:u w:val="single"/>
        </w:rPr>
        <w:t>pensum</w:t>
      </w:r>
      <w:proofErr w:type="gramEnd"/>
      <w:r>
        <w:rPr>
          <w:rFonts w:ascii="Arial" w:eastAsia="Times New Roman" w:hAnsi="Arial" w:cs="Arial"/>
          <w:color w:val="2B2B2B"/>
          <w:sz w:val="19"/>
          <w:szCs w:val="19"/>
        </w:rPr>
        <w:t xml:space="preserve">, men det virker som alle studentene har valgt hovedlitteratur alternativ I, </w:t>
      </w:r>
      <w:proofErr w:type="spellStart"/>
      <w:r>
        <w:rPr>
          <w:rFonts w:ascii="Arial" w:eastAsia="Times New Roman" w:hAnsi="Arial" w:cs="Arial"/>
          <w:color w:val="2B2B2B"/>
          <w:sz w:val="19"/>
          <w:szCs w:val="19"/>
        </w:rPr>
        <w:t>dvs</w:t>
      </w:r>
      <w:proofErr w:type="spellEnd"/>
      <w:r>
        <w:rPr>
          <w:rFonts w:ascii="Arial" w:eastAsia="Times New Roman" w:hAnsi="Arial" w:cs="Arial"/>
          <w:color w:val="2B2B2B"/>
          <w:sz w:val="19"/>
          <w:szCs w:val="19"/>
        </w:rPr>
        <w:t>:</w:t>
      </w:r>
    </w:p>
    <w:p w:rsidR="00BF366A" w:rsidRDefault="00BF366A" w:rsidP="00BF366A">
      <w:pPr>
        <w:pStyle w:val="ListParagraph"/>
        <w:numPr>
          <w:ilvl w:val="0"/>
          <w:numId w:val="5"/>
        </w:numPr>
        <w:ind w:left="708"/>
        <w:rPr>
          <w:rFonts w:ascii="Arial" w:eastAsia="Times New Roman" w:hAnsi="Arial" w:cs="Arial"/>
          <w:color w:val="2B2B2B"/>
          <w:sz w:val="19"/>
          <w:szCs w:val="19"/>
        </w:rPr>
      </w:pPr>
      <w:r w:rsidRPr="00BF366A">
        <w:rPr>
          <w:rFonts w:ascii="Arial" w:eastAsia="Times New Roman" w:hAnsi="Arial" w:cs="Arial"/>
          <w:color w:val="2B2B2B"/>
          <w:sz w:val="19"/>
          <w:szCs w:val="19"/>
        </w:rPr>
        <w:t xml:space="preserve">Myklebust, Trude: Innføring i finansmarkedsrett, 2011, Del II og III, s 83-377. (Alternativt til Innføring i Finansmarkedsrett Del III kan man lese Bergo, Knut: Børs- og </w:t>
      </w:r>
      <w:proofErr w:type="spellStart"/>
      <w:r w:rsidRPr="00BF366A">
        <w:rPr>
          <w:rFonts w:ascii="Arial" w:eastAsia="Times New Roman" w:hAnsi="Arial" w:cs="Arial"/>
          <w:color w:val="2B2B2B"/>
          <w:sz w:val="19"/>
          <w:szCs w:val="19"/>
        </w:rPr>
        <w:t>verdipapirrett</w:t>
      </w:r>
      <w:proofErr w:type="spellEnd"/>
      <w:r w:rsidRPr="00BF366A">
        <w:rPr>
          <w:rFonts w:ascii="Arial" w:eastAsia="Times New Roman" w:hAnsi="Arial" w:cs="Arial"/>
          <w:color w:val="2B2B2B"/>
          <w:sz w:val="19"/>
          <w:szCs w:val="19"/>
        </w:rPr>
        <w:t xml:space="preserve"> (2009))</w:t>
      </w:r>
    </w:p>
    <w:p w:rsidR="00BF366A" w:rsidRPr="00BF366A" w:rsidRDefault="00BF366A" w:rsidP="00BF366A">
      <w:pPr>
        <w:pStyle w:val="ListParagraph"/>
        <w:ind w:left="708"/>
        <w:rPr>
          <w:rFonts w:ascii="Arial" w:eastAsia="Times New Roman" w:hAnsi="Arial" w:cs="Arial"/>
          <w:color w:val="2B2B2B"/>
          <w:sz w:val="19"/>
          <w:szCs w:val="19"/>
        </w:rPr>
      </w:pPr>
    </w:p>
    <w:p w:rsidR="00BF366A" w:rsidRDefault="00BF366A" w:rsidP="00BF366A">
      <w:pPr>
        <w:pStyle w:val="ListParagraph"/>
        <w:numPr>
          <w:ilvl w:val="0"/>
          <w:numId w:val="5"/>
        </w:numPr>
        <w:rPr>
          <w:rFonts w:ascii="Arial" w:eastAsia="Times New Roman" w:hAnsi="Arial" w:cs="Arial"/>
          <w:color w:val="2B2B2B"/>
          <w:sz w:val="19"/>
          <w:szCs w:val="19"/>
          <w:lang w:val="en-US"/>
        </w:rPr>
      </w:pPr>
      <w:proofErr w:type="spellStart"/>
      <w:r w:rsidRPr="00BF366A">
        <w:rPr>
          <w:rFonts w:ascii="Arial" w:eastAsia="Times New Roman" w:hAnsi="Arial" w:cs="Arial"/>
          <w:color w:val="2B2B2B"/>
          <w:sz w:val="19"/>
          <w:szCs w:val="19"/>
          <w:lang w:val="en-US"/>
        </w:rPr>
        <w:t>Mads</w:t>
      </w:r>
      <w:proofErr w:type="spellEnd"/>
      <w:r w:rsidRPr="00BF366A">
        <w:rPr>
          <w:rFonts w:ascii="Arial" w:eastAsia="Times New Roman" w:hAnsi="Arial" w:cs="Arial"/>
          <w:color w:val="2B2B2B"/>
          <w:sz w:val="19"/>
          <w:szCs w:val="19"/>
          <w:lang w:val="en-US"/>
        </w:rPr>
        <w:t xml:space="preserve"> </w:t>
      </w:r>
      <w:proofErr w:type="spellStart"/>
      <w:r w:rsidRPr="00BF366A">
        <w:rPr>
          <w:rFonts w:ascii="Arial" w:eastAsia="Times New Roman" w:hAnsi="Arial" w:cs="Arial"/>
          <w:color w:val="2B2B2B"/>
          <w:sz w:val="19"/>
          <w:szCs w:val="19"/>
          <w:lang w:val="en-US"/>
        </w:rPr>
        <w:t>Andenas</w:t>
      </w:r>
      <w:proofErr w:type="spellEnd"/>
      <w:r w:rsidRPr="00BF366A">
        <w:rPr>
          <w:rFonts w:ascii="Arial" w:eastAsia="Times New Roman" w:hAnsi="Arial" w:cs="Arial"/>
          <w:color w:val="2B2B2B"/>
          <w:sz w:val="19"/>
          <w:szCs w:val="19"/>
          <w:lang w:val="en-US"/>
        </w:rPr>
        <w:t xml:space="preserve"> and Iris H-Y Chiu: Financial Stability and Legal Integration in Financial Regulation, European Law Review Issue 3, 2013,</w:t>
      </w:r>
    </w:p>
    <w:p w:rsidR="00BF366A" w:rsidRPr="00BF366A" w:rsidRDefault="00BF366A" w:rsidP="00BF366A">
      <w:pPr>
        <w:pStyle w:val="ListParagraph"/>
        <w:rPr>
          <w:rFonts w:ascii="Arial" w:eastAsia="Times New Roman" w:hAnsi="Arial" w:cs="Arial"/>
          <w:color w:val="2B2B2B"/>
          <w:sz w:val="19"/>
          <w:szCs w:val="19"/>
          <w:lang w:val="en-US"/>
        </w:rPr>
      </w:pPr>
    </w:p>
    <w:p w:rsidR="00BF366A" w:rsidRPr="00BF366A" w:rsidRDefault="00BF366A" w:rsidP="00BF366A">
      <w:pPr>
        <w:pStyle w:val="ListParagraph"/>
        <w:rPr>
          <w:rFonts w:ascii="Arial" w:eastAsia="Times New Roman" w:hAnsi="Arial" w:cs="Arial"/>
          <w:color w:val="2B2B2B"/>
          <w:sz w:val="19"/>
          <w:szCs w:val="19"/>
          <w:lang w:val="en-US"/>
        </w:rPr>
      </w:pPr>
    </w:p>
    <w:p w:rsidR="00BF366A" w:rsidRDefault="00BF366A" w:rsidP="00BF366A">
      <w:pPr>
        <w:pStyle w:val="ListParagraph"/>
        <w:numPr>
          <w:ilvl w:val="0"/>
          <w:numId w:val="5"/>
        </w:numPr>
        <w:rPr>
          <w:rFonts w:ascii="Arial" w:eastAsia="Times New Roman" w:hAnsi="Arial" w:cs="Arial"/>
          <w:color w:val="2B2B2B"/>
          <w:sz w:val="19"/>
          <w:szCs w:val="19"/>
        </w:rPr>
      </w:pPr>
      <w:r w:rsidRPr="00BF366A">
        <w:rPr>
          <w:rFonts w:ascii="Arial" w:eastAsia="Times New Roman" w:hAnsi="Arial" w:cs="Arial"/>
          <w:color w:val="2B2B2B"/>
          <w:sz w:val="19"/>
          <w:szCs w:val="19"/>
        </w:rPr>
        <w:t xml:space="preserve">NOU 2011:1 Bedre rustet mot finanskriser, Finanskriseutvalgets utredning, Kapittel 1 (s. 9-23) og Del III (s. 103-129) </w:t>
      </w:r>
    </w:p>
    <w:p w:rsidR="00BF366A" w:rsidRDefault="00BF366A" w:rsidP="00BF366A">
      <w:pPr>
        <w:pStyle w:val="ListParagraph"/>
        <w:rPr>
          <w:rFonts w:ascii="Arial" w:eastAsia="Times New Roman" w:hAnsi="Arial" w:cs="Arial"/>
          <w:color w:val="2B2B2B"/>
          <w:sz w:val="19"/>
          <w:szCs w:val="19"/>
        </w:rPr>
      </w:pPr>
    </w:p>
    <w:p w:rsidR="00BF366A" w:rsidRPr="00BF366A" w:rsidRDefault="00BF366A" w:rsidP="00BF366A">
      <w:pPr>
        <w:pStyle w:val="ListParagraph"/>
        <w:ind w:left="0"/>
        <w:rPr>
          <w:rFonts w:ascii="Arial" w:eastAsia="Times New Roman" w:hAnsi="Arial" w:cs="Arial"/>
          <w:color w:val="2B2B2B"/>
          <w:sz w:val="19"/>
          <w:szCs w:val="19"/>
        </w:rPr>
      </w:pPr>
      <w:r>
        <w:rPr>
          <w:rFonts w:ascii="Arial" w:eastAsia="Times New Roman" w:hAnsi="Arial" w:cs="Arial"/>
          <w:color w:val="2B2B2B"/>
          <w:sz w:val="19"/>
          <w:szCs w:val="19"/>
        </w:rPr>
        <w:t>Myklebust Del I er angitt som innføringslitteratur.</w:t>
      </w:r>
    </w:p>
    <w:p w:rsidR="00BF366A" w:rsidRPr="00BF366A" w:rsidRDefault="00BF366A" w:rsidP="00A25B44">
      <w:pPr>
        <w:rPr>
          <w:rFonts w:ascii="Arial" w:eastAsia="Times New Roman" w:hAnsi="Arial" w:cs="Arial"/>
          <w:color w:val="2B2B2B"/>
          <w:sz w:val="19"/>
          <w:szCs w:val="19"/>
        </w:rPr>
      </w:pPr>
      <w:r w:rsidRPr="003F5869">
        <w:rPr>
          <w:rFonts w:ascii="Arial" w:eastAsia="Times New Roman" w:hAnsi="Arial" w:cs="Arial"/>
          <w:color w:val="2B2B2B"/>
          <w:sz w:val="19"/>
          <w:szCs w:val="19"/>
          <w:u w:val="single"/>
        </w:rPr>
        <w:t>Læringskravene</w:t>
      </w:r>
      <w:r w:rsidRPr="00BF366A">
        <w:rPr>
          <w:rFonts w:ascii="Arial" w:eastAsia="Times New Roman" w:hAnsi="Arial" w:cs="Arial"/>
          <w:color w:val="2B2B2B"/>
          <w:sz w:val="19"/>
          <w:szCs w:val="19"/>
        </w:rPr>
        <w:t xml:space="preserve"> for faget er angitt som følger:</w:t>
      </w:r>
    </w:p>
    <w:p w:rsidR="00A25B44" w:rsidRPr="00A25B44" w:rsidRDefault="00A25B44" w:rsidP="00F0645B">
      <w:pPr>
        <w:shd w:val="clear" w:color="auto" w:fill="FFFFFF"/>
        <w:spacing w:before="45" w:after="120" w:line="314" w:lineRule="atLeast"/>
        <w:ind w:left="360"/>
        <w:rPr>
          <w:rFonts w:ascii="Arial" w:eastAsia="Times New Roman" w:hAnsi="Arial" w:cs="Arial"/>
          <w:color w:val="2B2B2B"/>
          <w:sz w:val="19"/>
          <w:szCs w:val="19"/>
        </w:rPr>
      </w:pPr>
      <w:r w:rsidRPr="00A25B44">
        <w:rPr>
          <w:rFonts w:ascii="Arial" w:eastAsia="Times New Roman" w:hAnsi="Arial" w:cs="Arial"/>
          <w:color w:val="2B2B2B"/>
          <w:sz w:val="19"/>
          <w:szCs w:val="19"/>
        </w:rPr>
        <w:t>Kandidaten vil få god kunnskap om og forståelse av:</w:t>
      </w:r>
    </w:p>
    <w:p w:rsidR="00A25B44" w:rsidRPr="003F5869" w:rsidRDefault="00A25B44" w:rsidP="00F0645B">
      <w:pPr>
        <w:pStyle w:val="ListParagraph"/>
        <w:numPr>
          <w:ilvl w:val="0"/>
          <w:numId w:val="7"/>
        </w:numPr>
        <w:shd w:val="clear" w:color="auto" w:fill="FFFFFF"/>
        <w:spacing w:before="30" w:after="45" w:line="314" w:lineRule="atLeast"/>
        <w:ind w:left="1080"/>
        <w:rPr>
          <w:rFonts w:ascii="Arial" w:eastAsia="Times New Roman" w:hAnsi="Arial" w:cs="Arial"/>
          <w:color w:val="2B2B2B"/>
          <w:sz w:val="19"/>
          <w:szCs w:val="19"/>
        </w:rPr>
      </w:pPr>
      <w:r w:rsidRPr="003F5869">
        <w:rPr>
          <w:rFonts w:ascii="Arial" w:eastAsia="Times New Roman" w:hAnsi="Arial" w:cs="Arial"/>
          <w:color w:val="2B2B2B"/>
          <w:sz w:val="19"/>
          <w:szCs w:val="19"/>
        </w:rPr>
        <w:t>Hensynene bak reguleringen av finansmarkedet</w:t>
      </w:r>
    </w:p>
    <w:p w:rsidR="00A25B44" w:rsidRPr="003F5869" w:rsidRDefault="00A25B44" w:rsidP="00F0645B">
      <w:pPr>
        <w:pStyle w:val="ListParagraph"/>
        <w:numPr>
          <w:ilvl w:val="0"/>
          <w:numId w:val="7"/>
        </w:numPr>
        <w:shd w:val="clear" w:color="auto" w:fill="FFFFFF"/>
        <w:spacing w:before="30" w:after="45" w:line="314" w:lineRule="atLeast"/>
        <w:ind w:left="1080"/>
        <w:rPr>
          <w:rFonts w:ascii="Arial" w:eastAsia="Times New Roman" w:hAnsi="Arial" w:cs="Arial"/>
          <w:color w:val="2B2B2B"/>
          <w:sz w:val="19"/>
          <w:szCs w:val="19"/>
        </w:rPr>
      </w:pPr>
      <w:r w:rsidRPr="003F5869">
        <w:rPr>
          <w:rFonts w:ascii="Arial" w:eastAsia="Times New Roman" w:hAnsi="Arial" w:cs="Arial"/>
          <w:color w:val="2B2B2B"/>
          <w:sz w:val="19"/>
          <w:szCs w:val="19"/>
        </w:rPr>
        <w:t>Oppbygging av det norske finansmarkedet med oversikt over institusjoner, roller og funksjoner</w:t>
      </w:r>
    </w:p>
    <w:p w:rsidR="00A25B44" w:rsidRPr="003F5869" w:rsidRDefault="00A25B44" w:rsidP="00F0645B">
      <w:pPr>
        <w:pStyle w:val="ListParagraph"/>
        <w:numPr>
          <w:ilvl w:val="0"/>
          <w:numId w:val="7"/>
        </w:numPr>
        <w:shd w:val="clear" w:color="auto" w:fill="FFFFFF"/>
        <w:spacing w:before="30" w:after="45" w:line="314" w:lineRule="atLeast"/>
        <w:ind w:left="1080"/>
        <w:rPr>
          <w:rFonts w:ascii="Arial" w:eastAsia="Times New Roman" w:hAnsi="Arial" w:cs="Arial"/>
          <w:color w:val="2B2B2B"/>
          <w:sz w:val="19"/>
          <w:szCs w:val="19"/>
          <w:lang w:val="nn-NO"/>
        </w:rPr>
      </w:pPr>
      <w:r w:rsidRPr="003F5869">
        <w:rPr>
          <w:rFonts w:ascii="Arial" w:eastAsia="Times New Roman" w:hAnsi="Arial" w:cs="Arial"/>
          <w:color w:val="2B2B2B"/>
          <w:sz w:val="19"/>
          <w:szCs w:val="19"/>
          <w:lang w:val="nn-NO"/>
        </w:rPr>
        <w:t>Oppbygging og regelverksstruktur på området i norsk rett</w:t>
      </w:r>
    </w:p>
    <w:p w:rsidR="00A25B44" w:rsidRPr="003F5869" w:rsidRDefault="00A25B44" w:rsidP="00F0645B">
      <w:pPr>
        <w:pStyle w:val="ListParagraph"/>
        <w:numPr>
          <w:ilvl w:val="0"/>
          <w:numId w:val="7"/>
        </w:numPr>
        <w:shd w:val="clear" w:color="auto" w:fill="FFFFFF"/>
        <w:spacing w:before="30" w:after="45" w:line="314" w:lineRule="atLeast"/>
        <w:ind w:left="1080"/>
        <w:rPr>
          <w:rFonts w:ascii="Arial" w:eastAsia="Times New Roman" w:hAnsi="Arial" w:cs="Arial"/>
          <w:color w:val="2B2B2B"/>
          <w:sz w:val="19"/>
          <w:szCs w:val="19"/>
          <w:lang w:val="nn-NO"/>
        </w:rPr>
      </w:pPr>
      <w:proofErr w:type="spellStart"/>
      <w:r w:rsidRPr="003F5869">
        <w:rPr>
          <w:rFonts w:ascii="Arial" w:eastAsia="Times New Roman" w:hAnsi="Arial" w:cs="Arial"/>
          <w:color w:val="2B2B2B"/>
          <w:sz w:val="19"/>
          <w:szCs w:val="19"/>
          <w:lang w:val="nn-NO"/>
        </w:rPr>
        <w:t>Grunnleggende</w:t>
      </w:r>
      <w:proofErr w:type="spellEnd"/>
      <w:r w:rsidRPr="003F5869">
        <w:rPr>
          <w:rFonts w:ascii="Arial" w:eastAsia="Times New Roman" w:hAnsi="Arial" w:cs="Arial"/>
          <w:color w:val="2B2B2B"/>
          <w:sz w:val="19"/>
          <w:szCs w:val="19"/>
          <w:lang w:val="nn-NO"/>
        </w:rPr>
        <w:t xml:space="preserve"> </w:t>
      </w:r>
      <w:proofErr w:type="spellStart"/>
      <w:r w:rsidRPr="003F5869">
        <w:rPr>
          <w:rFonts w:ascii="Arial" w:eastAsia="Times New Roman" w:hAnsi="Arial" w:cs="Arial"/>
          <w:color w:val="2B2B2B"/>
          <w:sz w:val="19"/>
          <w:szCs w:val="19"/>
          <w:lang w:val="nn-NO"/>
        </w:rPr>
        <w:t>prinsipper</w:t>
      </w:r>
      <w:proofErr w:type="spellEnd"/>
      <w:r w:rsidRPr="003F5869">
        <w:rPr>
          <w:rFonts w:ascii="Arial" w:eastAsia="Times New Roman" w:hAnsi="Arial" w:cs="Arial"/>
          <w:color w:val="2B2B2B"/>
          <w:sz w:val="19"/>
          <w:szCs w:val="19"/>
          <w:lang w:val="nn-NO"/>
        </w:rPr>
        <w:t xml:space="preserve"> i den internasjonale og europeiske </w:t>
      </w:r>
      <w:proofErr w:type="spellStart"/>
      <w:r w:rsidRPr="003F5869">
        <w:rPr>
          <w:rFonts w:ascii="Arial" w:eastAsia="Times New Roman" w:hAnsi="Arial" w:cs="Arial"/>
          <w:color w:val="2B2B2B"/>
          <w:sz w:val="19"/>
          <w:szCs w:val="19"/>
          <w:lang w:val="nn-NO"/>
        </w:rPr>
        <w:t>reguleringen</w:t>
      </w:r>
      <w:proofErr w:type="spellEnd"/>
      <w:r w:rsidRPr="003F5869">
        <w:rPr>
          <w:rFonts w:ascii="Arial" w:eastAsia="Times New Roman" w:hAnsi="Arial" w:cs="Arial"/>
          <w:color w:val="2B2B2B"/>
          <w:sz w:val="19"/>
          <w:szCs w:val="19"/>
          <w:lang w:val="nn-NO"/>
        </w:rPr>
        <w:t xml:space="preserve"> som er sentral på dette rettsområdet, </w:t>
      </w:r>
      <w:proofErr w:type="spellStart"/>
      <w:r w:rsidRPr="003F5869">
        <w:rPr>
          <w:rFonts w:ascii="Arial" w:eastAsia="Times New Roman" w:hAnsi="Arial" w:cs="Arial"/>
          <w:color w:val="2B2B2B"/>
          <w:sz w:val="19"/>
          <w:szCs w:val="19"/>
          <w:lang w:val="nn-NO"/>
        </w:rPr>
        <w:t>herunder</w:t>
      </w:r>
      <w:proofErr w:type="spellEnd"/>
      <w:r w:rsidRPr="003F5869">
        <w:rPr>
          <w:rFonts w:ascii="Arial" w:eastAsia="Times New Roman" w:hAnsi="Arial" w:cs="Arial"/>
          <w:color w:val="2B2B2B"/>
          <w:sz w:val="19"/>
          <w:szCs w:val="19"/>
          <w:lang w:val="nn-NO"/>
        </w:rPr>
        <w:t xml:space="preserve"> EU-retten og internasjonale </w:t>
      </w:r>
      <w:proofErr w:type="spellStart"/>
      <w:r w:rsidRPr="003F5869">
        <w:rPr>
          <w:rFonts w:ascii="Arial" w:eastAsia="Times New Roman" w:hAnsi="Arial" w:cs="Arial"/>
          <w:color w:val="2B2B2B"/>
          <w:sz w:val="19"/>
          <w:szCs w:val="19"/>
          <w:lang w:val="nn-NO"/>
        </w:rPr>
        <w:t>standarder</w:t>
      </w:r>
      <w:proofErr w:type="spellEnd"/>
      <w:r w:rsidRPr="003F5869">
        <w:rPr>
          <w:rFonts w:ascii="Arial" w:eastAsia="Times New Roman" w:hAnsi="Arial" w:cs="Arial"/>
          <w:color w:val="2B2B2B"/>
          <w:sz w:val="19"/>
          <w:szCs w:val="19"/>
          <w:lang w:val="nn-NO"/>
        </w:rPr>
        <w:t xml:space="preserve"> og </w:t>
      </w:r>
      <w:proofErr w:type="spellStart"/>
      <w:r w:rsidRPr="003F5869">
        <w:rPr>
          <w:rFonts w:ascii="Arial" w:eastAsia="Times New Roman" w:hAnsi="Arial" w:cs="Arial"/>
          <w:color w:val="2B2B2B"/>
          <w:sz w:val="19"/>
          <w:szCs w:val="19"/>
          <w:lang w:val="nn-NO"/>
        </w:rPr>
        <w:t>deres</w:t>
      </w:r>
      <w:proofErr w:type="spellEnd"/>
      <w:r w:rsidRPr="003F5869">
        <w:rPr>
          <w:rFonts w:ascii="Arial" w:eastAsia="Times New Roman" w:hAnsi="Arial" w:cs="Arial"/>
          <w:color w:val="2B2B2B"/>
          <w:sz w:val="19"/>
          <w:szCs w:val="19"/>
          <w:lang w:val="nn-NO"/>
        </w:rPr>
        <w:t xml:space="preserve"> samspill med nasjonalretten.</w:t>
      </w:r>
    </w:p>
    <w:p w:rsidR="003F5869" w:rsidRPr="00A25B44" w:rsidRDefault="003F5869" w:rsidP="00F0645B">
      <w:pPr>
        <w:shd w:val="clear" w:color="auto" w:fill="FFFFFF"/>
        <w:spacing w:before="30" w:after="45" w:line="314" w:lineRule="atLeast"/>
        <w:ind w:left="570"/>
        <w:rPr>
          <w:rFonts w:ascii="Arial" w:eastAsia="Times New Roman" w:hAnsi="Arial" w:cs="Arial"/>
          <w:color w:val="2B2B2B"/>
          <w:sz w:val="19"/>
          <w:szCs w:val="19"/>
          <w:lang w:val="nn-NO"/>
        </w:rPr>
      </w:pPr>
    </w:p>
    <w:p w:rsidR="00A25B44" w:rsidRPr="00A25B44" w:rsidRDefault="00A25B44" w:rsidP="00F0645B">
      <w:pPr>
        <w:shd w:val="clear" w:color="auto" w:fill="FFFFFF"/>
        <w:spacing w:before="45" w:after="120" w:line="314" w:lineRule="atLeast"/>
        <w:ind w:left="360"/>
        <w:rPr>
          <w:rFonts w:ascii="Arial" w:eastAsia="Times New Roman" w:hAnsi="Arial" w:cs="Arial"/>
          <w:color w:val="2B2B2B"/>
          <w:sz w:val="19"/>
          <w:szCs w:val="19"/>
        </w:rPr>
      </w:pPr>
      <w:r w:rsidRPr="00A25B44">
        <w:rPr>
          <w:rFonts w:ascii="Arial" w:eastAsia="Times New Roman" w:hAnsi="Arial" w:cs="Arial"/>
          <w:color w:val="2B2B2B"/>
          <w:sz w:val="19"/>
          <w:szCs w:val="19"/>
        </w:rPr>
        <w:t>Kandidaten vil få kjennskap til følgende emner:</w:t>
      </w:r>
    </w:p>
    <w:p w:rsidR="00A25B44" w:rsidRPr="003F5869" w:rsidRDefault="00A25B44" w:rsidP="00F0645B">
      <w:pPr>
        <w:pStyle w:val="ListParagraph"/>
        <w:numPr>
          <w:ilvl w:val="0"/>
          <w:numId w:val="2"/>
        </w:numPr>
        <w:shd w:val="clear" w:color="auto" w:fill="FFFFFF"/>
        <w:tabs>
          <w:tab w:val="clear" w:pos="720"/>
          <w:tab w:val="num" w:pos="1080"/>
        </w:tabs>
        <w:spacing w:before="30" w:after="45" w:line="314" w:lineRule="atLeast"/>
        <w:ind w:left="1080"/>
        <w:rPr>
          <w:rFonts w:ascii="Arial" w:eastAsia="Times New Roman" w:hAnsi="Arial" w:cs="Arial"/>
          <w:color w:val="2B2B2B"/>
          <w:sz w:val="19"/>
          <w:szCs w:val="19"/>
        </w:rPr>
      </w:pPr>
      <w:r w:rsidRPr="003F5869">
        <w:rPr>
          <w:rFonts w:ascii="Arial" w:eastAsia="Times New Roman" w:hAnsi="Arial" w:cs="Arial"/>
          <w:color w:val="2B2B2B"/>
          <w:sz w:val="19"/>
          <w:szCs w:val="19"/>
        </w:rPr>
        <w:t>Reglene om konsesjonspliktige institusjoners organisering og virksomhet</w:t>
      </w:r>
    </w:p>
    <w:p w:rsidR="00A25B44" w:rsidRPr="003F5869" w:rsidRDefault="00A25B44" w:rsidP="00F0645B">
      <w:pPr>
        <w:pStyle w:val="ListParagraph"/>
        <w:numPr>
          <w:ilvl w:val="0"/>
          <w:numId w:val="2"/>
        </w:numPr>
        <w:shd w:val="clear" w:color="auto" w:fill="FFFFFF"/>
        <w:spacing w:before="30" w:after="45" w:line="314" w:lineRule="atLeast"/>
        <w:ind w:left="1080"/>
        <w:rPr>
          <w:rFonts w:ascii="Arial" w:eastAsia="Times New Roman" w:hAnsi="Arial" w:cs="Arial"/>
          <w:color w:val="2B2B2B"/>
          <w:sz w:val="19"/>
          <w:szCs w:val="19"/>
        </w:rPr>
      </w:pPr>
      <w:r w:rsidRPr="003F5869">
        <w:rPr>
          <w:rFonts w:ascii="Arial" w:eastAsia="Times New Roman" w:hAnsi="Arial" w:cs="Arial"/>
          <w:color w:val="2B2B2B"/>
          <w:sz w:val="19"/>
          <w:szCs w:val="19"/>
        </w:rPr>
        <w:t>Atferdsreglene i verdipapirretten</w:t>
      </w:r>
    </w:p>
    <w:p w:rsidR="00A25B44" w:rsidRPr="003F5869" w:rsidRDefault="00A25B44" w:rsidP="00F0645B">
      <w:pPr>
        <w:pStyle w:val="ListParagraph"/>
        <w:numPr>
          <w:ilvl w:val="0"/>
          <w:numId w:val="2"/>
        </w:numPr>
        <w:shd w:val="clear" w:color="auto" w:fill="FFFFFF"/>
        <w:spacing w:before="30" w:after="45" w:line="314" w:lineRule="atLeast"/>
        <w:ind w:left="1080"/>
        <w:rPr>
          <w:rFonts w:ascii="Arial" w:eastAsia="Times New Roman" w:hAnsi="Arial" w:cs="Arial"/>
          <w:color w:val="2B2B2B"/>
          <w:sz w:val="19"/>
          <w:szCs w:val="19"/>
        </w:rPr>
      </w:pPr>
      <w:r w:rsidRPr="003F5869">
        <w:rPr>
          <w:rFonts w:ascii="Arial" w:eastAsia="Times New Roman" w:hAnsi="Arial" w:cs="Arial"/>
          <w:color w:val="2B2B2B"/>
          <w:sz w:val="19"/>
          <w:szCs w:val="19"/>
        </w:rPr>
        <w:t>Reglene om tilsyn med finansinstitusjoner og andre aktører i finansmarkedet</w:t>
      </w:r>
    </w:p>
    <w:p w:rsidR="00A25B44" w:rsidRPr="003F5869" w:rsidRDefault="00A25B44" w:rsidP="00F0645B">
      <w:pPr>
        <w:pStyle w:val="ListParagraph"/>
        <w:numPr>
          <w:ilvl w:val="0"/>
          <w:numId w:val="2"/>
        </w:numPr>
        <w:shd w:val="clear" w:color="auto" w:fill="FFFFFF"/>
        <w:spacing w:before="30" w:after="45" w:line="314" w:lineRule="atLeast"/>
        <w:ind w:left="1080"/>
        <w:rPr>
          <w:rFonts w:ascii="Arial" w:eastAsia="Times New Roman" w:hAnsi="Arial" w:cs="Arial"/>
          <w:color w:val="2B2B2B"/>
          <w:sz w:val="19"/>
          <w:szCs w:val="19"/>
        </w:rPr>
      </w:pPr>
      <w:r w:rsidRPr="003F5869">
        <w:rPr>
          <w:rFonts w:ascii="Arial" w:eastAsia="Times New Roman" w:hAnsi="Arial" w:cs="Arial"/>
          <w:color w:val="2B2B2B"/>
          <w:sz w:val="19"/>
          <w:szCs w:val="19"/>
        </w:rPr>
        <w:t>Forskjellige privatrettslige aspekter av konsesjonspliktige institusjoners virksomhet.</w:t>
      </w:r>
    </w:p>
    <w:p w:rsidR="003F5869" w:rsidRDefault="003F5869" w:rsidP="00A25B44">
      <w:pPr>
        <w:rPr>
          <w:rFonts w:ascii="Arial" w:eastAsia="Times New Roman" w:hAnsi="Arial" w:cs="Arial"/>
          <w:color w:val="2B2B2B"/>
          <w:sz w:val="19"/>
          <w:szCs w:val="19"/>
        </w:rPr>
      </w:pPr>
    </w:p>
    <w:p w:rsidR="003F5869" w:rsidRDefault="003F5869" w:rsidP="008951E9">
      <w:pPr>
        <w:spacing w:line="360" w:lineRule="auto"/>
        <w:rPr>
          <w:rFonts w:ascii="Arial" w:eastAsia="Times New Roman" w:hAnsi="Arial" w:cs="Arial"/>
          <w:color w:val="2B2B2B"/>
          <w:sz w:val="19"/>
          <w:szCs w:val="19"/>
        </w:rPr>
      </w:pPr>
      <w:r w:rsidRPr="003F5869">
        <w:rPr>
          <w:rFonts w:ascii="Arial" w:eastAsia="Times New Roman" w:hAnsi="Arial" w:cs="Arial"/>
          <w:color w:val="2B2B2B"/>
          <w:sz w:val="19"/>
          <w:szCs w:val="19"/>
        </w:rPr>
        <w:t xml:space="preserve">Oppgaven knytter seg dermed i stor grad til temaer som faller inn under </w:t>
      </w:r>
      <w:r w:rsidRPr="00113757">
        <w:rPr>
          <w:rFonts w:ascii="Arial" w:eastAsia="Times New Roman" w:hAnsi="Arial" w:cs="Arial"/>
          <w:i/>
          <w:color w:val="2B2B2B"/>
          <w:sz w:val="19"/>
          <w:szCs w:val="19"/>
        </w:rPr>
        <w:t>god kunnskap</w:t>
      </w:r>
      <w:r w:rsidRPr="003F5869">
        <w:rPr>
          <w:rFonts w:ascii="Arial" w:eastAsia="Times New Roman" w:hAnsi="Arial" w:cs="Arial"/>
          <w:color w:val="2B2B2B"/>
          <w:sz w:val="19"/>
          <w:szCs w:val="19"/>
        </w:rPr>
        <w:t>, nemlig hensyn</w:t>
      </w:r>
      <w:r>
        <w:rPr>
          <w:rFonts w:ascii="Arial" w:eastAsia="Times New Roman" w:hAnsi="Arial" w:cs="Arial"/>
          <w:color w:val="2B2B2B"/>
          <w:sz w:val="19"/>
          <w:szCs w:val="19"/>
        </w:rPr>
        <w:t>ene ba</w:t>
      </w:r>
      <w:r w:rsidR="00113757">
        <w:rPr>
          <w:rFonts w:ascii="Arial" w:eastAsia="Times New Roman" w:hAnsi="Arial" w:cs="Arial"/>
          <w:color w:val="2B2B2B"/>
          <w:sz w:val="19"/>
          <w:szCs w:val="19"/>
        </w:rPr>
        <w:t xml:space="preserve">k regulering av finansmarkedet. Spørsmål 2 i oppgaven krever dessuten at kandidaten bruker konkrete regler som er omtalt i pensum for å demonstrere hvordan reglene skal bidra til oppfyllelse av ulike hensyn. Det kan ikke kreves like god kjennskap om de konkrete reglene som om formål og hensyn, jf. at dette i hovedsak faller inn under emner hvor læringskravene er angitt til å ha </w:t>
      </w:r>
      <w:r w:rsidR="00113757" w:rsidRPr="00D9167A">
        <w:rPr>
          <w:rFonts w:ascii="Arial" w:eastAsia="Times New Roman" w:hAnsi="Arial" w:cs="Arial"/>
          <w:i/>
          <w:color w:val="2B2B2B"/>
          <w:sz w:val="19"/>
          <w:szCs w:val="19"/>
        </w:rPr>
        <w:t>kjennskap</w:t>
      </w:r>
      <w:r w:rsidR="00113757">
        <w:rPr>
          <w:rFonts w:ascii="Arial" w:eastAsia="Times New Roman" w:hAnsi="Arial" w:cs="Arial"/>
          <w:color w:val="2B2B2B"/>
          <w:sz w:val="19"/>
          <w:szCs w:val="19"/>
        </w:rPr>
        <w:t>.</w:t>
      </w:r>
      <w:r>
        <w:rPr>
          <w:rFonts w:ascii="Arial" w:eastAsia="Times New Roman" w:hAnsi="Arial" w:cs="Arial"/>
          <w:color w:val="2B2B2B"/>
          <w:sz w:val="19"/>
          <w:szCs w:val="19"/>
        </w:rPr>
        <w:t xml:space="preserve"> </w:t>
      </w:r>
    </w:p>
    <w:p w:rsidR="00F0645B" w:rsidRDefault="00806EB6" w:rsidP="008951E9">
      <w:pPr>
        <w:spacing w:line="360" w:lineRule="auto"/>
        <w:rPr>
          <w:rFonts w:ascii="Arial" w:eastAsia="Times New Roman" w:hAnsi="Arial" w:cs="Arial"/>
          <w:color w:val="2B2B2B"/>
          <w:sz w:val="19"/>
          <w:szCs w:val="19"/>
        </w:rPr>
      </w:pPr>
      <w:r>
        <w:rPr>
          <w:rFonts w:ascii="Arial" w:eastAsia="Times New Roman" w:hAnsi="Arial" w:cs="Arial"/>
          <w:color w:val="2B2B2B"/>
          <w:sz w:val="19"/>
          <w:szCs w:val="19"/>
        </w:rPr>
        <w:t xml:space="preserve">Både i pensumlitteraturen og forelesningene er det lagt mye vekt på å redegjøre for formål og hensyn. I Myklebust er hensyn behandlet generelt i kapittel 3.1, for reguleringen av bank- og finansieringsforetak særlig i kapittel 6.3.2 og for verdipapir- og børsrett i kapittel 15.4.2. </w:t>
      </w:r>
      <w:r w:rsidR="008951E9">
        <w:rPr>
          <w:rFonts w:ascii="Arial" w:eastAsia="Times New Roman" w:hAnsi="Arial" w:cs="Arial"/>
          <w:color w:val="2B2B2B"/>
          <w:sz w:val="19"/>
          <w:szCs w:val="19"/>
        </w:rPr>
        <w:t>Det er mye stoff i disse kapitlene til sammen som kandidatene kan trekke på i løsningen av oppgave 1.</w:t>
      </w:r>
      <w:r w:rsidR="003E4C5D">
        <w:rPr>
          <w:rFonts w:ascii="Arial" w:eastAsia="Times New Roman" w:hAnsi="Arial" w:cs="Arial"/>
          <w:color w:val="2B2B2B"/>
          <w:sz w:val="19"/>
          <w:szCs w:val="19"/>
        </w:rPr>
        <w:t>, og denne oppgaven bør være relativt grei. Kandidatene bør kunne redegjøre greit for hensynene finansiell stabilitet og velfungerende markeder, og hva som menes med disse begrepene. I tillegg er det naturlig å komme inn på</w:t>
      </w:r>
      <w:r w:rsidR="009D318B">
        <w:rPr>
          <w:rFonts w:ascii="Arial" w:eastAsia="Times New Roman" w:hAnsi="Arial" w:cs="Arial"/>
          <w:color w:val="2B2B2B"/>
          <w:sz w:val="19"/>
          <w:szCs w:val="19"/>
        </w:rPr>
        <w:t xml:space="preserve"> bl.a.</w:t>
      </w:r>
      <w:r w:rsidR="003E4C5D">
        <w:rPr>
          <w:rFonts w:ascii="Arial" w:eastAsia="Times New Roman" w:hAnsi="Arial" w:cs="Arial"/>
          <w:color w:val="2B2B2B"/>
          <w:sz w:val="19"/>
          <w:szCs w:val="19"/>
        </w:rPr>
        <w:t xml:space="preserve"> hensynet til effektiv konkurranse, beskyttelse av brukerne</w:t>
      </w:r>
      <w:r w:rsidR="008951E9">
        <w:rPr>
          <w:rFonts w:ascii="Arial" w:eastAsia="Times New Roman" w:hAnsi="Arial" w:cs="Arial"/>
          <w:color w:val="2B2B2B"/>
          <w:sz w:val="19"/>
          <w:szCs w:val="19"/>
        </w:rPr>
        <w:t xml:space="preserve"> </w:t>
      </w:r>
      <w:r w:rsidR="003E4C5D">
        <w:rPr>
          <w:rFonts w:ascii="Arial" w:eastAsia="Times New Roman" w:hAnsi="Arial" w:cs="Arial"/>
          <w:color w:val="2B2B2B"/>
          <w:sz w:val="19"/>
          <w:szCs w:val="19"/>
        </w:rPr>
        <w:t xml:space="preserve">og europeisk integrasjon. I pensum og i forelesningene er </w:t>
      </w:r>
      <w:r w:rsidR="003E4C5D" w:rsidRPr="003E4C5D">
        <w:rPr>
          <w:rFonts w:ascii="Arial" w:eastAsia="Times New Roman" w:hAnsi="Arial" w:cs="Arial"/>
          <w:i/>
          <w:color w:val="2B2B2B"/>
          <w:sz w:val="19"/>
          <w:szCs w:val="19"/>
        </w:rPr>
        <w:t>tillit</w:t>
      </w:r>
      <w:r w:rsidR="003E4C5D">
        <w:rPr>
          <w:rFonts w:ascii="Arial" w:eastAsia="Times New Roman" w:hAnsi="Arial" w:cs="Arial"/>
          <w:color w:val="2B2B2B"/>
          <w:sz w:val="19"/>
          <w:szCs w:val="19"/>
        </w:rPr>
        <w:t xml:space="preserve"> til markedet og markedsfunksjonene ofte trukket fram som avgjørende både når det gjelder finansiell stabilitet og velfungerende markeder. </w:t>
      </w:r>
    </w:p>
    <w:p w:rsidR="008951E9" w:rsidRDefault="003E4C5D" w:rsidP="008951E9">
      <w:pPr>
        <w:spacing w:line="360" w:lineRule="auto"/>
        <w:rPr>
          <w:rFonts w:ascii="Arial" w:eastAsia="Times New Roman" w:hAnsi="Arial" w:cs="Arial"/>
          <w:color w:val="2B2B2B"/>
          <w:sz w:val="19"/>
          <w:szCs w:val="19"/>
        </w:rPr>
      </w:pPr>
      <w:r>
        <w:rPr>
          <w:rFonts w:ascii="Arial" w:eastAsia="Times New Roman" w:hAnsi="Arial" w:cs="Arial"/>
          <w:color w:val="2B2B2B"/>
          <w:sz w:val="19"/>
          <w:szCs w:val="19"/>
        </w:rPr>
        <w:t>I pensum er også beskr</w:t>
      </w:r>
      <w:r w:rsidR="00B243CF">
        <w:rPr>
          <w:rFonts w:ascii="Arial" w:eastAsia="Times New Roman" w:hAnsi="Arial" w:cs="Arial"/>
          <w:color w:val="2B2B2B"/>
          <w:sz w:val="19"/>
          <w:szCs w:val="19"/>
        </w:rPr>
        <w:t xml:space="preserve">evet spesielle forhold ved finansmarkedene som begrunner reguleringsbehovet – særlig faren for markedssvikt som følge av ulike forhold som ofte kan gjøre seg gjeldende i finansielle markeder, som informasjonsasymmetri, prinsipal-agentproblemer og </w:t>
      </w:r>
      <w:proofErr w:type="spellStart"/>
      <w:r w:rsidR="00B243CF">
        <w:rPr>
          <w:rFonts w:ascii="Arial" w:eastAsia="Times New Roman" w:hAnsi="Arial" w:cs="Arial"/>
          <w:color w:val="2B2B2B"/>
          <w:sz w:val="19"/>
          <w:szCs w:val="19"/>
        </w:rPr>
        <w:t>eksternaliteter</w:t>
      </w:r>
      <w:proofErr w:type="spellEnd"/>
      <w:r w:rsidR="00B243CF">
        <w:rPr>
          <w:rFonts w:ascii="Arial" w:eastAsia="Times New Roman" w:hAnsi="Arial" w:cs="Arial"/>
          <w:color w:val="2B2B2B"/>
          <w:sz w:val="19"/>
          <w:szCs w:val="19"/>
        </w:rPr>
        <w:t xml:space="preserve"> (særlig systemrisiko). Dersom kandidatene kan gi en meningsfull drøftelse av slike forhold er det et pluss, men det er også grunn til å tro at en del synes dette er komplisert</w:t>
      </w:r>
      <w:r w:rsidR="00F0645B">
        <w:rPr>
          <w:rFonts w:ascii="Arial" w:eastAsia="Times New Roman" w:hAnsi="Arial" w:cs="Arial"/>
          <w:color w:val="2B2B2B"/>
          <w:sz w:val="19"/>
          <w:szCs w:val="19"/>
        </w:rPr>
        <w:t>,</w:t>
      </w:r>
      <w:r w:rsidR="00B243CF">
        <w:rPr>
          <w:rFonts w:ascii="Arial" w:eastAsia="Times New Roman" w:hAnsi="Arial" w:cs="Arial"/>
          <w:color w:val="2B2B2B"/>
          <w:sz w:val="19"/>
          <w:szCs w:val="19"/>
        </w:rPr>
        <w:t xml:space="preserve"> noe en bør ha en viss forståelse for.</w:t>
      </w:r>
      <w:r w:rsidR="00272113">
        <w:rPr>
          <w:rFonts w:ascii="Arial" w:eastAsia="Times New Roman" w:hAnsi="Arial" w:cs="Arial"/>
          <w:color w:val="2B2B2B"/>
          <w:sz w:val="19"/>
          <w:szCs w:val="19"/>
        </w:rPr>
        <w:t xml:space="preserve"> Innledningskapittelet til Finanskriseutvalgets utredning er en del av pensum og dersom noen klarer å gjøre fornuftig bruk av finanskrisen til å illustrere viktige hensyn er det et pluss.</w:t>
      </w:r>
      <w:r w:rsidR="009D318B">
        <w:rPr>
          <w:rFonts w:ascii="Arial" w:eastAsia="Times New Roman" w:hAnsi="Arial" w:cs="Arial"/>
          <w:color w:val="2B2B2B"/>
          <w:sz w:val="19"/>
          <w:szCs w:val="19"/>
        </w:rPr>
        <w:t xml:space="preserve"> Enten under spørsmål 1 eller i besvarelsen av spørsmål 2 bør kandidatene få fram at de ulike hensynene gjør seg noe ulikt gjeldende i henholdsvis bank-/finansretten og i børs-/verdipapirretten. Selv om det ikke er skarpe skiller, kan det være naturlig å få fram at finansiell stabilitet</w:t>
      </w:r>
      <w:r w:rsidR="00021320">
        <w:rPr>
          <w:rFonts w:ascii="Arial" w:eastAsia="Times New Roman" w:hAnsi="Arial" w:cs="Arial"/>
          <w:color w:val="2B2B2B"/>
          <w:sz w:val="19"/>
          <w:szCs w:val="19"/>
        </w:rPr>
        <w:t xml:space="preserve"> og soliditet</w:t>
      </w:r>
      <w:r w:rsidR="009D318B">
        <w:rPr>
          <w:rFonts w:ascii="Arial" w:eastAsia="Times New Roman" w:hAnsi="Arial" w:cs="Arial"/>
          <w:color w:val="2B2B2B"/>
          <w:sz w:val="19"/>
          <w:szCs w:val="19"/>
        </w:rPr>
        <w:t xml:space="preserve"> gjør seg spesielt </w:t>
      </w:r>
      <w:r w:rsidR="00677A53">
        <w:rPr>
          <w:rFonts w:ascii="Arial" w:eastAsia="Times New Roman" w:hAnsi="Arial" w:cs="Arial"/>
          <w:color w:val="2B2B2B"/>
          <w:sz w:val="19"/>
          <w:szCs w:val="19"/>
        </w:rPr>
        <w:t>sterkt</w:t>
      </w:r>
      <w:r w:rsidR="009D318B">
        <w:rPr>
          <w:rFonts w:ascii="Arial" w:eastAsia="Times New Roman" w:hAnsi="Arial" w:cs="Arial"/>
          <w:color w:val="2B2B2B"/>
          <w:sz w:val="19"/>
          <w:szCs w:val="19"/>
        </w:rPr>
        <w:t xml:space="preserve"> gjeldende i reguleringen av bank-/finansieringsområdet og velfungerende mark</w:t>
      </w:r>
      <w:r w:rsidR="00677A53">
        <w:rPr>
          <w:rFonts w:ascii="Arial" w:eastAsia="Times New Roman" w:hAnsi="Arial" w:cs="Arial"/>
          <w:color w:val="2B2B2B"/>
          <w:sz w:val="19"/>
          <w:szCs w:val="19"/>
        </w:rPr>
        <w:t>eder har særlig betydning på verdipapirområdet.</w:t>
      </w:r>
      <w:r w:rsidR="00F0645B">
        <w:rPr>
          <w:rFonts w:ascii="Arial" w:eastAsia="Times New Roman" w:hAnsi="Arial" w:cs="Arial"/>
          <w:color w:val="2B2B2B"/>
          <w:sz w:val="19"/>
          <w:szCs w:val="19"/>
        </w:rPr>
        <w:t xml:space="preserve"> Det vil også være et pluss dersom kandidatene forklarer forholdet mellom finansmarkedslovgivningen og tilgrensende rettsområder/</w:t>
      </w:r>
      <w:proofErr w:type="spellStart"/>
      <w:r w:rsidR="00F0645B">
        <w:rPr>
          <w:rFonts w:ascii="Arial" w:eastAsia="Times New Roman" w:hAnsi="Arial" w:cs="Arial"/>
          <w:color w:val="2B2B2B"/>
          <w:sz w:val="19"/>
          <w:szCs w:val="19"/>
        </w:rPr>
        <w:t>bakgrunnsrett</w:t>
      </w:r>
      <w:proofErr w:type="spellEnd"/>
      <w:r w:rsidR="00F0645B">
        <w:rPr>
          <w:rFonts w:ascii="Arial" w:eastAsia="Times New Roman" w:hAnsi="Arial" w:cs="Arial"/>
          <w:color w:val="2B2B2B"/>
          <w:sz w:val="19"/>
          <w:szCs w:val="19"/>
        </w:rPr>
        <w:t xml:space="preserve">, og forklarer at finansmarkedsrettens hensyn ofte ivaretar andre formål enn for eksempel aksjelovgivningen, alminnelig </w:t>
      </w:r>
      <w:proofErr w:type="spellStart"/>
      <w:r w:rsidR="00F0645B">
        <w:rPr>
          <w:rFonts w:ascii="Arial" w:eastAsia="Times New Roman" w:hAnsi="Arial" w:cs="Arial"/>
          <w:color w:val="2B2B2B"/>
          <w:sz w:val="19"/>
          <w:szCs w:val="19"/>
        </w:rPr>
        <w:t>formuesrett</w:t>
      </w:r>
      <w:proofErr w:type="spellEnd"/>
      <w:r w:rsidR="00F0645B">
        <w:rPr>
          <w:rFonts w:ascii="Arial" w:eastAsia="Times New Roman" w:hAnsi="Arial" w:cs="Arial"/>
          <w:color w:val="2B2B2B"/>
          <w:sz w:val="19"/>
          <w:szCs w:val="19"/>
        </w:rPr>
        <w:t xml:space="preserve"> etc.</w:t>
      </w:r>
    </w:p>
    <w:p w:rsidR="009D318B" w:rsidRDefault="009D318B" w:rsidP="008951E9">
      <w:pPr>
        <w:spacing w:line="360" w:lineRule="auto"/>
        <w:rPr>
          <w:rFonts w:ascii="Arial" w:eastAsia="Times New Roman" w:hAnsi="Arial" w:cs="Arial"/>
          <w:color w:val="2B2B2B"/>
          <w:sz w:val="19"/>
          <w:szCs w:val="19"/>
        </w:rPr>
      </w:pPr>
    </w:p>
    <w:p w:rsidR="00021320" w:rsidRDefault="008951E9" w:rsidP="008951E9">
      <w:pPr>
        <w:spacing w:line="360" w:lineRule="auto"/>
        <w:rPr>
          <w:rFonts w:ascii="Arial" w:eastAsia="Times New Roman" w:hAnsi="Arial" w:cs="Arial"/>
          <w:color w:val="2B2B2B"/>
          <w:sz w:val="19"/>
          <w:szCs w:val="19"/>
        </w:rPr>
      </w:pPr>
      <w:r>
        <w:rPr>
          <w:rFonts w:ascii="Arial" w:eastAsia="Times New Roman" w:hAnsi="Arial" w:cs="Arial"/>
          <w:color w:val="2B2B2B"/>
          <w:sz w:val="19"/>
          <w:szCs w:val="19"/>
        </w:rPr>
        <w:t>Ved besvarelsen av spørsmål 2. står kandidatene fritt til å velge ut regler de ønsker å illustrere hensynene de har beskrevet under spørsmål 1.</w:t>
      </w:r>
      <w:r w:rsidR="00021320">
        <w:rPr>
          <w:rFonts w:ascii="Arial" w:eastAsia="Times New Roman" w:hAnsi="Arial" w:cs="Arial"/>
          <w:color w:val="2B2B2B"/>
          <w:sz w:val="19"/>
          <w:szCs w:val="19"/>
        </w:rPr>
        <w:t xml:space="preserve"> Hvordan konkrete regler støtter ulike hensyn er i Myklebust beskrevet i kapittelinnledningene, i tillegg til de generelle kapitlene som allerede er nevnt ovenfor. </w:t>
      </w:r>
      <w:r w:rsidR="001617A4">
        <w:rPr>
          <w:rFonts w:ascii="Arial" w:eastAsia="Times New Roman" w:hAnsi="Arial" w:cs="Arial"/>
          <w:color w:val="2B2B2B"/>
          <w:sz w:val="19"/>
          <w:szCs w:val="19"/>
        </w:rPr>
        <w:t>D</w:t>
      </w:r>
      <w:r w:rsidR="00B215C3">
        <w:rPr>
          <w:rFonts w:ascii="Arial" w:eastAsia="Times New Roman" w:hAnsi="Arial" w:cs="Arial"/>
          <w:color w:val="2B2B2B"/>
          <w:sz w:val="19"/>
          <w:szCs w:val="19"/>
        </w:rPr>
        <w:t>et</w:t>
      </w:r>
      <w:r w:rsidR="001617A4">
        <w:rPr>
          <w:rFonts w:ascii="Arial" w:eastAsia="Times New Roman" w:hAnsi="Arial" w:cs="Arial"/>
          <w:color w:val="2B2B2B"/>
          <w:sz w:val="19"/>
          <w:szCs w:val="19"/>
        </w:rPr>
        <w:t xml:space="preserve"> er</w:t>
      </w:r>
      <w:r w:rsidR="00B215C3">
        <w:rPr>
          <w:rFonts w:ascii="Arial" w:eastAsia="Times New Roman" w:hAnsi="Arial" w:cs="Arial"/>
          <w:color w:val="2B2B2B"/>
          <w:sz w:val="19"/>
          <w:szCs w:val="19"/>
        </w:rPr>
        <w:t xml:space="preserve"> en rekke mulige regler å ta tak i og det er ikke hensiktsmessig å forsøke å gi noen uttømmende fremstilling her. Det viktige er at kandidatene klarer å redegjøre for forholdet mellom reglene de har valgt å beskrive og hensynene d</w:t>
      </w:r>
      <w:r w:rsidR="001617A4">
        <w:rPr>
          <w:rFonts w:ascii="Arial" w:eastAsia="Times New Roman" w:hAnsi="Arial" w:cs="Arial"/>
          <w:color w:val="2B2B2B"/>
          <w:sz w:val="19"/>
          <w:szCs w:val="19"/>
        </w:rPr>
        <w:t>isse</w:t>
      </w:r>
      <w:r w:rsidR="00B215C3">
        <w:rPr>
          <w:rFonts w:ascii="Arial" w:eastAsia="Times New Roman" w:hAnsi="Arial" w:cs="Arial"/>
          <w:color w:val="2B2B2B"/>
          <w:sz w:val="19"/>
          <w:szCs w:val="19"/>
        </w:rPr>
        <w:t xml:space="preserve"> er ment å ivareta på en fornuftig måte. Det er imidlertid et poeng at de har valgt ut regler både fra bank/-finansområdet og børs-/verdipapirområdet. Det kan ikke kreves detaljkunnskap om reglene som beskrives, men det bør være gitt en framstilling av hovedtrekk i reguleringen. Det kan etter omstendighetene være greit at kandidaten har skrevet nokså generelt om et regelsett (som for eksempel prospektreglene eller reglene om løpende og periodisk informasjonsplikt), dersom hovedtrekkene kommer greit fram. Dersom kandidater klarer å beskrive godt hvordan primære mål ved regler/sett av regler virker opp mot overordnede hensyn, er det et pluss (for eksempel at økt informasjonstilgang eller tillit til at det ikke er stort innslag av </w:t>
      </w:r>
      <w:r w:rsidR="00434E82">
        <w:rPr>
          <w:rFonts w:ascii="Arial" w:eastAsia="Times New Roman" w:hAnsi="Arial" w:cs="Arial"/>
          <w:color w:val="2B2B2B"/>
          <w:sz w:val="19"/>
          <w:szCs w:val="19"/>
        </w:rPr>
        <w:t>innsidehandel i et marked</w:t>
      </w:r>
      <w:r w:rsidR="001617A4">
        <w:rPr>
          <w:rFonts w:ascii="Arial" w:eastAsia="Times New Roman" w:hAnsi="Arial" w:cs="Arial"/>
          <w:color w:val="2B2B2B"/>
          <w:sz w:val="19"/>
          <w:szCs w:val="19"/>
        </w:rPr>
        <w:t>,</w:t>
      </w:r>
      <w:r w:rsidR="00434E82">
        <w:rPr>
          <w:rFonts w:ascii="Arial" w:eastAsia="Times New Roman" w:hAnsi="Arial" w:cs="Arial"/>
          <w:color w:val="2B2B2B"/>
          <w:sz w:val="19"/>
          <w:szCs w:val="19"/>
        </w:rPr>
        <w:t xml:space="preserve"> på overordnet nivå styrker hensynet til velfungerende markeder).</w:t>
      </w:r>
      <w:r w:rsidR="00021320">
        <w:rPr>
          <w:rFonts w:ascii="Arial" w:eastAsia="Times New Roman" w:hAnsi="Arial" w:cs="Arial"/>
          <w:color w:val="2B2B2B"/>
          <w:sz w:val="19"/>
          <w:szCs w:val="19"/>
        </w:rPr>
        <w:t xml:space="preserve"> </w:t>
      </w:r>
    </w:p>
    <w:p w:rsidR="00021320" w:rsidRDefault="00021320" w:rsidP="008951E9">
      <w:pPr>
        <w:spacing w:line="360" w:lineRule="auto"/>
        <w:rPr>
          <w:rFonts w:ascii="Arial" w:eastAsia="Times New Roman" w:hAnsi="Arial" w:cs="Arial"/>
          <w:color w:val="2B2B2B"/>
          <w:sz w:val="19"/>
          <w:szCs w:val="19"/>
        </w:rPr>
      </w:pPr>
      <w:r>
        <w:rPr>
          <w:rFonts w:ascii="Arial" w:eastAsia="Times New Roman" w:hAnsi="Arial" w:cs="Arial"/>
          <w:color w:val="2B2B2B"/>
          <w:sz w:val="19"/>
          <w:szCs w:val="19"/>
        </w:rPr>
        <w:t xml:space="preserve">Spørsmål 3. er et mer komplisert spørsmål som krever et dypere analysenivå. Dersom kandidaten har svart godt på spørsmål 1. og 2. bør ikke en svak besvarelse under spørsmål 3 trekke vesentlig ned. Et godt svar på spørsmål 3. kan imidlertid skille ut de virkelige gode besvarelsene ved at kandidaten her får anledning til å demonstrere mer selvstendig </w:t>
      </w:r>
      <w:r w:rsidR="001617A4">
        <w:rPr>
          <w:rFonts w:ascii="Arial" w:eastAsia="Times New Roman" w:hAnsi="Arial" w:cs="Arial"/>
          <w:color w:val="2B2B2B"/>
          <w:sz w:val="19"/>
          <w:szCs w:val="19"/>
        </w:rPr>
        <w:t xml:space="preserve">tenkning og refleksjon. </w:t>
      </w:r>
      <w:r w:rsidR="00A3637C">
        <w:rPr>
          <w:rFonts w:ascii="Arial" w:eastAsia="Times New Roman" w:hAnsi="Arial" w:cs="Arial"/>
          <w:color w:val="2B2B2B"/>
          <w:sz w:val="19"/>
          <w:szCs w:val="19"/>
        </w:rPr>
        <w:t>T</w:t>
      </w:r>
      <w:r w:rsidR="001617A4">
        <w:rPr>
          <w:rFonts w:ascii="Arial" w:eastAsia="Times New Roman" w:hAnsi="Arial" w:cs="Arial"/>
          <w:color w:val="2B2B2B"/>
          <w:sz w:val="19"/>
          <w:szCs w:val="19"/>
        </w:rPr>
        <w:t xml:space="preserve">emaet er </w:t>
      </w:r>
      <w:r w:rsidR="00A3637C">
        <w:rPr>
          <w:rFonts w:ascii="Arial" w:eastAsia="Times New Roman" w:hAnsi="Arial" w:cs="Arial"/>
          <w:color w:val="2B2B2B"/>
          <w:sz w:val="19"/>
          <w:szCs w:val="19"/>
        </w:rPr>
        <w:t xml:space="preserve">behandlet i pensum.  </w:t>
      </w:r>
      <w:r w:rsidR="001617A4">
        <w:rPr>
          <w:rFonts w:ascii="Arial" w:eastAsia="Times New Roman" w:hAnsi="Arial" w:cs="Arial"/>
          <w:color w:val="2B2B2B"/>
          <w:sz w:val="19"/>
          <w:szCs w:val="19"/>
        </w:rPr>
        <w:t>Andenæs/</w:t>
      </w:r>
      <w:proofErr w:type="spellStart"/>
      <w:r w:rsidR="001617A4">
        <w:rPr>
          <w:rFonts w:ascii="Arial" w:eastAsia="Times New Roman" w:hAnsi="Arial" w:cs="Arial"/>
          <w:color w:val="2B2B2B"/>
          <w:sz w:val="19"/>
          <w:szCs w:val="19"/>
        </w:rPr>
        <w:t>Chiu</w:t>
      </w:r>
      <w:proofErr w:type="spellEnd"/>
      <w:r w:rsidR="001617A4">
        <w:rPr>
          <w:rFonts w:ascii="Arial" w:eastAsia="Times New Roman" w:hAnsi="Arial" w:cs="Arial"/>
          <w:color w:val="2B2B2B"/>
          <w:sz w:val="19"/>
          <w:szCs w:val="19"/>
        </w:rPr>
        <w:t xml:space="preserve">-artikkelen gir en god diskusjon </w:t>
      </w:r>
      <w:r w:rsidR="00A3637C">
        <w:rPr>
          <w:rFonts w:ascii="Arial" w:eastAsia="Times New Roman" w:hAnsi="Arial" w:cs="Arial"/>
          <w:color w:val="2B2B2B"/>
          <w:sz w:val="19"/>
          <w:szCs w:val="19"/>
        </w:rPr>
        <w:t xml:space="preserve">og avveining </w:t>
      </w:r>
      <w:r w:rsidR="001617A4">
        <w:rPr>
          <w:rFonts w:ascii="Arial" w:eastAsia="Times New Roman" w:hAnsi="Arial" w:cs="Arial"/>
          <w:color w:val="2B2B2B"/>
          <w:sz w:val="19"/>
          <w:szCs w:val="19"/>
        </w:rPr>
        <w:t>av forholdet mellom finansiell stabilitet og fina</w:t>
      </w:r>
      <w:r w:rsidR="00A3637C">
        <w:rPr>
          <w:rFonts w:ascii="Arial" w:eastAsia="Times New Roman" w:hAnsi="Arial" w:cs="Arial"/>
          <w:color w:val="2B2B2B"/>
          <w:sz w:val="19"/>
          <w:szCs w:val="19"/>
        </w:rPr>
        <w:t>nsiell integrasjon i EU. Nederst på s. 57 i Myklebust er det i en oppsummering av beskrivelsen av hensynene pekt på at hensynene kan komme i konflikt og noen eksempler på dette, noe som også er diskutert underveis i kapittel 3 på enkelte steder.</w:t>
      </w:r>
    </w:p>
    <w:p w:rsidR="008951E9" w:rsidRDefault="008951E9" w:rsidP="008951E9">
      <w:pPr>
        <w:spacing w:line="360" w:lineRule="auto"/>
        <w:rPr>
          <w:rFonts w:ascii="Arial" w:eastAsia="Times New Roman" w:hAnsi="Arial" w:cs="Arial"/>
          <w:color w:val="2B2B2B"/>
          <w:sz w:val="19"/>
          <w:szCs w:val="19"/>
        </w:rPr>
      </w:pPr>
    </w:p>
    <w:p w:rsidR="00806EB6" w:rsidRPr="003F5869" w:rsidRDefault="00806EB6" w:rsidP="00A25B44">
      <w:pPr>
        <w:rPr>
          <w:rFonts w:ascii="Arial" w:eastAsia="Times New Roman" w:hAnsi="Arial" w:cs="Arial"/>
          <w:color w:val="2B2B2B"/>
          <w:sz w:val="19"/>
          <w:szCs w:val="19"/>
        </w:rPr>
      </w:pPr>
    </w:p>
    <w:p w:rsidR="003F5869" w:rsidRPr="00A25B44" w:rsidRDefault="003F5869" w:rsidP="00A25B44">
      <w:pPr>
        <w:rPr>
          <w:b/>
          <w:sz w:val="28"/>
          <w:szCs w:val="28"/>
        </w:rPr>
      </w:pPr>
    </w:p>
    <w:sectPr w:rsidR="003F5869" w:rsidRPr="00A25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723"/>
    <w:multiLevelType w:val="hybridMultilevel"/>
    <w:tmpl w:val="07105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5C6639E"/>
    <w:multiLevelType w:val="hybridMultilevel"/>
    <w:tmpl w:val="B9FC6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9F11D04"/>
    <w:multiLevelType w:val="multilevel"/>
    <w:tmpl w:val="BE00AD3A"/>
    <w:lvl w:ilvl="0">
      <w:start w:val="1"/>
      <w:numFmt w:val="bullet"/>
      <w:lvlText w:val=""/>
      <w:lvlJc w:val="left"/>
      <w:pPr>
        <w:tabs>
          <w:tab w:val="num" w:pos="1770"/>
        </w:tabs>
        <w:ind w:left="1770" w:hanging="360"/>
      </w:pPr>
      <w:rPr>
        <w:rFonts w:ascii="Symbol" w:hAnsi="Symbol" w:hint="default"/>
        <w:sz w:val="20"/>
      </w:rPr>
    </w:lvl>
    <w:lvl w:ilvl="1">
      <w:start w:val="1"/>
      <w:numFmt w:val="bullet"/>
      <w:lvlText w:val="o"/>
      <w:lvlJc w:val="left"/>
      <w:pPr>
        <w:tabs>
          <w:tab w:val="num" w:pos="2490"/>
        </w:tabs>
        <w:ind w:left="2490" w:hanging="360"/>
      </w:pPr>
      <w:rPr>
        <w:rFonts w:ascii="Courier New" w:hAnsi="Courier New" w:hint="default"/>
        <w:sz w:val="20"/>
      </w:rPr>
    </w:lvl>
    <w:lvl w:ilvl="2" w:tentative="1">
      <w:start w:val="1"/>
      <w:numFmt w:val="bullet"/>
      <w:lvlText w:val=""/>
      <w:lvlJc w:val="left"/>
      <w:pPr>
        <w:tabs>
          <w:tab w:val="num" w:pos="3210"/>
        </w:tabs>
        <w:ind w:left="3210" w:hanging="360"/>
      </w:pPr>
      <w:rPr>
        <w:rFonts w:ascii="Wingdings" w:hAnsi="Wingdings" w:hint="default"/>
        <w:sz w:val="20"/>
      </w:rPr>
    </w:lvl>
    <w:lvl w:ilvl="3" w:tentative="1">
      <w:start w:val="1"/>
      <w:numFmt w:val="bullet"/>
      <w:lvlText w:val=""/>
      <w:lvlJc w:val="left"/>
      <w:pPr>
        <w:tabs>
          <w:tab w:val="num" w:pos="3930"/>
        </w:tabs>
        <w:ind w:left="3930" w:hanging="360"/>
      </w:pPr>
      <w:rPr>
        <w:rFonts w:ascii="Wingdings" w:hAnsi="Wingdings" w:hint="default"/>
        <w:sz w:val="20"/>
      </w:rPr>
    </w:lvl>
    <w:lvl w:ilvl="4" w:tentative="1">
      <w:start w:val="1"/>
      <w:numFmt w:val="bullet"/>
      <w:lvlText w:val=""/>
      <w:lvlJc w:val="left"/>
      <w:pPr>
        <w:tabs>
          <w:tab w:val="num" w:pos="4650"/>
        </w:tabs>
        <w:ind w:left="4650" w:hanging="360"/>
      </w:pPr>
      <w:rPr>
        <w:rFonts w:ascii="Wingdings" w:hAnsi="Wingdings" w:hint="default"/>
        <w:sz w:val="20"/>
      </w:rPr>
    </w:lvl>
    <w:lvl w:ilvl="5" w:tentative="1">
      <w:start w:val="1"/>
      <w:numFmt w:val="bullet"/>
      <w:lvlText w:val=""/>
      <w:lvlJc w:val="left"/>
      <w:pPr>
        <w:tabs>
          <w:tab w:val="num" w:pos="5370"/>
        </w:tabs>
        <w:ind w:left="5370" w:hanging="360"/>
      </w:pPr>
      <w:rPr>
        <w:rFonts w:ascii="Wingdings" w:hAnsi="Wingdings" w:hint="default"/>
        <w:sz w:val="20"/>
      </w:rPr>
    </w:lvl>
    <w:lvl w:ilvl="6" w:tentative="1">
      <w:start w:val="1"/>
      <w:numFmt w:val="bullet"/>
      <w:lvlText w:val=""/>
      <w:lvlJc w:val="left"/>
      <w:pPr>
        <w:tabs>
          <w:tab w:val="num" w:pos="6090"/>
        </w:tabs>
        <w:ind w:left="6090" w:hanging="360"/>
      </w:pPr>
      <w:rPr>
        <w:rFonts w:ascii="Wingdings" w:hAnsi="Wingdings" w:hint="default"/>
        <w:sz w:val="20"/>
      </w:rPr>
    </w:lvl>
    <w:lvl w:ilvl="7" w:tentative="1">
      <w:start w:val="1"/>
      <w:numFmt w:val="bullet"/>
      <w:lvlText w:val=""/>
      <w:lvlJc w:val="left"/>
      <w:pPr>
        <w:tabs>
          <w:tab w:val="num" w:pos="6810"/>
        </w:tabs>
        <w:ind w:left="6810" w:hanging="360"/>
      </w:pPr>
      <w:rPr>
        <w:rFonts w:ascii="Wingdings" w:hAnsi="Wingdings" w:hint="default"/>
        <w:sz w:val="20"/>
      </w:rPr>
    </w:lvl>
    <w:lvl w:ilvl="8" w:tentative="1">
      <w:start w:val="1"/>
      <w:numFmt w:val="bullet"/>
      <w:lvlText w:val=""/>
      <w:lvlJc w:val="left"/>
      <w:pPr>
        <w:tabs>
          <w:tab w:val="num" w:pos="7530"/>
        </w:tabs>
        <w:ind w:left="7530" w:hanging="360"/>
      </w:pPr>
      <w:rPr>
        <w:rFonts w:ascii="Wingdings" w:hAnsi="Wingdings" w:hint="default"/>
        <w:sz w:val="20"/>
      </w:rPr>
    </w:lvl>
  </w:abstractNum>
  <w:abstractNum w:abstractNumId="3">
    <w:nsid w:val="51AB5981"/>
    <w:multiLevelType w:val="hybridMultilevel"/>
    <w:tmpl w:val="20C453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FAF7BA5"/>
    <w:multiLevelType w:val="multilevel"/>
    <w:tmpl w:val="5A7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A442B"/>
    <w:multiLevelType w:val="multilevel"/>
    <w:tmpl w:val="BEC8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056D6"/>
    <w:multiLevelType w:val="multilevel"/>
    <w:tmpl w:val="0A4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44"/>
    <w:rsid w:val="00021320"/>
    <w:rsid w:val="00113757"/>
    <w:rsid w:val="001617A4"/>
    <w:rsid w:val="00272113"/>
    <w:rsid w:val="003E4C5D"/>
    <w:rsid w:val="003F5869"/>
    <w:rsid w:val="00434E82"/>
    <w:rsid w:val="004A104C"/>
    <w:rsid w:val="00677A53"/>
    <w:rsid w:val="00806EB6"/>
    <w:rsid w:val="008951E9"/>
    <w:rsid w:val="009D318B"/>
    <w:rsid w:val="00A25B44"/>
    <w:rsid w:val="00A3637C"/>
    <w:rsid w:val="00B215C3"/>
    <w:rsid w:val="00B243CF"/>
    <w:rsid w:val="00BB5983"/>
    <w:rsid w:val="00BF366A"/>
    <w:rsid w:val="00C3649B"/>
    <w:rsid w:val="00D9167A"/>
    <w:rsid w:val="00F0645B"/>
    <w:rsid w:val="00F459A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5B44"/>
    <w:pPr>
      <w:spacing w:before="225" w:after="75" w:line="310" w:lineRule="atLeast"/>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B44"/>
    <w:rPr>
      <w:rFonts w:ascii="Times New Roman" w:eastAsia="Times New Roman" w:hAnsi="Times New Roman" w:cs="Times New Roman"/>
      <w:b/>
      <w:bCs/>
      <w:sz w:val="30"/>
      <w:szCs w:val="30"/>
    </w:rPr>
  </w:style>
  <w:style w:type="character" w:styleId="Strong">
    <w:name w:val="Strong"/>
    <w:basedOn w:val="DefaultParagraphFont"/>
    <w:uiPriority w:val="22"/>
    <w:qFormat/>
    <w:rsid w:val="00A25B44"/>
    <w:rPr>
      <w:b/>
      <w:bCs/>
    </w:rPr>
  </w:style>
  <w:style w:type="paragraph" w:styleId="NormalWeb">
    <w:name w:val="Normal (Web)"/>
    <w:basedOn w:val="Normal"/>
    <w:uiPriority w:val="99"/>
    <w:semiHidden/>
    <w:unhideWhenUsed/>
    <w:rsid w:val="00A25B44"/>
    <w:pPr>
      <w:spacing w:before="45" w:after="1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3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5B44"/>
    <w:pPr>
      <w:spacing w:before="225" w:after="75" w:line="310" w:lineRule="atLeast"/>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B44"/>
    <w:rPr>
      <w:rFonts w:ascii="Times New Roman" w:eastAsia="Times New Roman" w:hAnsi="Times New Roman" w:cs="Times New Roman"/>
      <w:b/>
      <w:bCs/>
      <w:sz w:val="30"/>
      <w:szCs w:val="30"/>
    </w:rPr>
  </w:style>
  <w:style w:type="character" w:styleId="Strong">
    <w:name w:val="Strong"/>
    <w:basedOn w:val="DefaultParagraphFont"/>
    <w:uiPriority w:val="22"/>
    <w:qFormat/>
    <w:rsid w:val="00A25B44"/>
    <w:rPr>
      <w:b/>
      <w:bCs/>
    </w:rPr>
  </w:style>
  <w:style w:type="paragraph" w:styleId="NormalWeb">
    <w:name w:val="Normal (Web)"/>
    <w:basedOn w:val="Normal"/>
    <w:uiPriority w:val="99"/>
    <w:semiHidden/>
    <w:unhideWhenUsed/>
    <w:rsid w:val="00A25B44"/>
    <w:pPr>
      <w:spacing w:before="45" w:after="1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3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76115">
      <w:bodyDiv w:val="1"/>
      <w:marLeft w:val="0"/>
      <w:marRight w:val="0"/>
      <w:marTop w:val="0"/>
      <w:marBottom w:val="0"/>
      <w:divBdr>
        <w:top w:val="none" w:sz="0" w:space="0" w:color="auto"/>
        <w:left w:val="none" w:sz="0" w:space="0" w:color="auto"/>
        <w:bottom w:val="none" w:sz="0" w:space="0" w:color="auto"/>
        <w:right w:val="none" w:sz="0" w:space="0" w:color="auto"/>
      </w:divBdr>
      <w:divsChild>
        <w:div w:id="696203296">
          <w:marLeft w:val="0"/>
          <w:marRight w:val="0"/>
          <w:marTop w:val="0"/>
          <w:marBottom w:val="0"/>
          <w:divBdr>
            <w:top w:val="none" w:sz="0" w:space="0" w:color="auto"/>
            <w:left w:val="none" w:sz="0" w:space="0" w:color="auto"/>
            <w:bottom w:val="none" w:sz="0" w:space="0" w:color="auto"/>
            <w:right w:val="none" w:sz="0" w:space="0" w:color="auto"/>
          </w:divBdr>
          <w:divsChild>
            <w:div w:id="284619">
              <w:marLeft w:val="0"/>
              <w:marRight w:val="0"/>
              <w:marTop w:val="0"/>
              <w:marBottom w:val="0"/>
              <w:divBdr>
                <w:top w:val="none" w:sz="0" w:space="0" w:color="auto"/>
                <w:left w:val="none" w:sz="0" w:space="0" w:color="auto"/>
                <w:bottom w:val="none" w:sz="0" w:space="0" w:color="auto"/>
                <w:right w:val="none" w:sz="0" w:space="0" w:color="auto"/>
              </w:divBdr>
              <w:divsChild>
                <w:div w:id="1126195587">
                  <w:marLeft w:val="0"/>
                  <w:marRight w:val="0"/>
                  <w:marTop w:val="0"/>
                  <w:marBottom w:val="0"/>
                  <w:divBdr>
                    <w:top w:val="none" w:sz="0" w:space="0" w:color="auto"/>
                    <w:left w:val="none" w:sz="0" w:space="0" w:color="auto"/>
                    <w:bottom w:val="none" w:sz="0" w:space="0" w:color="auto"/>
                    <w:right w:val="none" w:sz="0" w:space="0" w:color="auto"/>
                  </w:divBdr>
                  <w:divsChild>
                    <w:div w:id="114297611">
                      <w:marLeft w:val="0"/>
                      <w:marRight w:val="0"/>
                      <w:marTop w:val="0"/>
                      <w:marBottom w:val="0"/>
                      <w:divBdr>
                        <w:top w:val="none" w:sz="0" w:space="0" w:color="auto"/>
                        <w:left w:val="none" w:sz="0" w:space="0" w:color="auto"/>
                        <w:bottom w:val="none" w:sz="0" w:space="0" w:color="auto"/>
                        <w:right w:val="none" w:sz="0" w:space="0" w:color="auto"/>
                      </w:divBdr>
                      <w:divsChild>
                        <w:div w:id="12996734">
                          <w:marLeft w:val="0"/>
                          <w:marRight w:val="0"/>
                          <w:marTop w:val="0"/>
                          <w:marBottom w:val="0"/>
                          <w:divBdr>
                            <w:top w:val="none" w:sz="0" w:space="0" w:color="auto"/>
                            <w:left w:val="none" w:sz="0" w:space="0" w:color="auto"/>
                            <w:bottom w:val="none" w:sz="0" w:space="0" w:color="auto"/>
                            <w:right w:val="none" w:sz="0" w:space="0" w:color="auto"/>
                          </w:divBdr>
                          <w:divsChild>
                            <w:div w:id="803935830">
                              <w:marLeft w:val="0"/>
                              <w:marRight w:val="0"/>
                              <w:marTop w:val="0"/>
                              <w:marBottom w:val="0"/>
                              <w:divBdr>
                                <w:top w:val="none" w:sz="0" w:space="0" w:color="auto"/>
                                <w:left w:val="none" w:sz="0" w:space="0" w:color="auto"/>
                                <w:bottom w:val="none" w:sz="0" w:space="0" w:color="auto"/>
                                <w:right w:val="none" w:sz="0" w:space="0" w:color="auto"/>
                              </w:divBdr>
                              <w:divsChild>
                                <w:div w:id="100539498">
                                  <w:marLeft w:val="0"/>
                                  <w:marRight w:val="0"/>
                                  <w:marTop w:val="0"/>
                                  <w:marBottom w:val="0"/>
                                  <w:divBdr>
                                    <w:top w:val="none" w:sz="0" w:space="0" w:color="auto"/>
                                    <w:left w:val="none" w:sz="0" w:space="0" w:color="auto"/>
                                    <w:bottom w:val="none" w:sz="0" w:space="0" w:color="auto"/>
                                    <w:right w:val="none" w:sz="0" w:space="0" w:color="auto"/>
                                  </w:divBdr>
                                  <w:divsChild>
                                    <w:div w:id="1025864585">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99436963">
                                          <w:marLeft w:val="-240"/>
                                          <w:marRight w:val="-240"/>
                                          <w:marTop w:val="0"/>
                                          <w:marBottom w:val="0"/>
                                          <w:divBdr>
                                            <w:top w:val="none" w:sz="0" w:space="0" w:color="auto"/>
                                            <w:left w:val="none" w:sz="0" w:space="0" w:color="auto"/>
                                            <w:bottom w:val="none" w:sz="0" w:space="0" w:color="auto"/>
                                            <w:right w:val="none" w:sz="0" w:space="0" w:color="auto"/>
                                          </w:divBdr>
                                          <w:divsChild>
                                            <w:div w:id="1215199377">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2005821307">
      <w:bodyDiv w:val="1"/>
      <w:marLeft w:val="0"/>
      <w:marRight w:val="0"/>
      <w:marTop w:val="0"/>
      <w:marBottom w:val="0"/>
      <w:divBdr>
        <w:top w:val="none" w:sz="0" w:space="0" w:color="auto"/>
        <w:left w:val="none" w:sz="0" w:space="0" w:color="auto"/>
        <w:bottom w:val="none" w:sz="0" w:space="0" w:color="auto"/>
        <w:right w:val="none" w:sz="0" w:space="0" w:color="auto"/>
      </w:divBdr>
      <w:divsChild>
        <w:div w:id="399598408">
          <w:marLeft w:val="0"/>
          <w:marRight w:val="0"/>
          <w:marTop w:val="0"/>
          <w:marBottom w:val="0"/>
          <w:divBdr>
            <w:top w:val="none" w:sz="0" w:space="0" w:color="auto"/>
            <w:left w:val="none" w:sz="0" w:space="0" w:color="auto"/>
            <w:bottom w:val="none" w:sz="0" w:space="0" w:color="auto"/>
            <w:right w:val="none" w:sz="0" w:space="0" w:color="auto"/>
          </w:divBdr>
          <w:divsChild>
            <w:div w:id="1459101529">
              <w:marLeft w:val="0"/>
              <w:marRight w:val="0"/>
              <w:marTop w:val="0"/>
              <w:marBottom w:val="0"/>
              <w:divBdr>
                <w:top w:val="none" w:sz="0" w:space="0" w:color="auto"/>
                <w:left w:val="none" w:sz="0" w:space="0" w:color="auto"/>
                <w:bottom w:val="none" w:sz="0" w:space="0" w:color="auto"/>
                <w:right w:val="none" w:sz="0" w:space="0" w:color="auto"/>
              </w:divBdr>
              <w:divsChild>
                <w:div w:id="1452286820">
                  <w:marLeft w:val="0"/>
                  <w:marRight w:val="0"/>
                  <w:marTop w:val="0"/>
                  <w:marBottom w:val="0"/>
                  <w:divBdr>
                    <w:top w:val="none" w:sz="0" w:space="0" w:color="auto"/>
                    <w:left w:val="none" w:sz="0" w:space="0" w:color="auto"/>
                    <w:bottom w:val="none" w:sz="0" w:space="0" w:color="auto"/>
                    <w:right w:val="none" w:sz="0" w:space="0" w:color="auto"/>
                  </w:divBdr>
                  <w:divsChild>
                    <w:div w:id="1742558913">
                      <w:marLeft w:val="0"/>
                      <w:marRight w:val="0"/>
                      <w:marTop w:val="0"/>
                      <w:marBottom w:val="0"/>
                      <w:divBdr>
                        <w:top w:val="none" w:sz="0" w:space="0" w:color="auto"/>
                        <w:left w:val="none" w:sz="0" w:space="0" w:color="auto"/>
                        <w:bottom w:val="none" w:sz="0" w:space="0" w:color="auto"/>
                        <w:right w:val="none" w:sz="0" w:space="0" w:color="auto"/>
                      </w:divBdr>
                      <w:divsChild>
                        <w:div w:id="1151866757">
                          <w:marLeft w:val="0"/>
                          <w:marRight w:val="0"/>
                          <w:marTop w:val="0"/>
                          <w:marBottom w:val="0"/>
                          <w:divBdr>
                            <w:top w:val="none" w:sz="0" w:space="0" w:color="auto"/>
                            <w:left w:val="none" w:sz="0" w:space="0" w:color="auto"/>
                            <w:bottom w:val="none" w:sz="0" w:space="0" w:color="auto"/>
                            <w:right w:val="none" w:sz="0" w:space="0" w:color="auto"/>
                          </w:divBdr>
                          <w:divsChild>
                            <w:div w:id="942147476">
                              <w:marLeft w:val="0"/>
                              <w:marRight w:val="0"/>
                              <w:marTop w:val="0"/>
                              <w:marBottom w:val="0"/>
                              <w:divBdr>
                                <w:top w:val="none" w:sz="0" w:space="0" w:color="auto"/>
                                <w:left w:val="none" w:sz="0" w:space="0" w:color="auto"/>
                                <w:bottom w:val="none" w:sz="0" w:space="0" w:color="auto"/>
                                <w:right w:val="none" w:sz="0" w:space="0" w:color="auto"/>
                              </w:divBdr>
                              <w:divsChild>
                                <w:div w:id="810950232">
                                  <w:marLeft w:val="0"/>
                                  <w:marRight w:val="0"/>
                                  <w:marTop w:val="0"/>
                                  <w:marBottom w:val="0"/>
                                  <w:divBdr>
                                    <w:top w:val="none" w:sz="0" w:space="0" w:color="auto"/>
                                    <w:left w:val="none" w:sz="0" w:space="0" w:color="auto"/>
                                    <w:bottom w:val="none" w:sz="0" w:space="0" w:color="auto"/>
                                    <w:right w:val="none" w:sz="0" w:space="0" w:color="auto"/>
                                  </w:divBdr>
                                  <w:divsChild>
                                    <w:div w:id="999038906">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329409175">
                                          <w:marLeft w:val="-240"/>
                                          <w:marRight w:val="-240"/>
                                          <w:marTop w:val="0"/>
                                          <w:marBottom w:val="0"/>
                                          <w:divBdr>
                                            <w:top w:val="none" w:sz="0" w:space="0" w:color="auto"/>
                                            <w:left w:val="none" w:sz="0" w:space="0" w:color="auto"/>
                                            <w:bottom w:val="none" w:sz="0" w:space="0" w:color="auto"/>
                                            <w:right w:val="none" w:sz="0" w:space="0" w:color="auto"/>
                                          </w:divBdr>
                                          <w:divsChild>
                                            <w:div w:id="1229073203">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1081</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Myklebust</dc:creator>
  <cp:lastModifiedBy>Trude Myklebust</cp:lastModifiedBy>
  <cp:revision>12</cp:revision>
  <dcterms:created xsi:type="dcterms:W3CDTF">2013-11-22T12:47:00Z</dcterms:created>
  <dcterms:modified xsi:type="dcterms:W3CDTF">2013-11-22T14:13:00Z</dcterms:modified>
</cp:coreProperties>
</file>