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2F52" w14:textId="77777777" w:rsidR="000049A1" w:rsidRDefault="00BC55F4" w:rsidP="00C412C1">
      <w:pPr>
        <w:jc w:val="both"/>
        <w:rPr>
          <w:b/>
        </w:rPr>
      </w:pPr>
      <w:r>
        <w:rPr>
          <w:b/>
        </w:rPr>
        <w:t>Rapport studietur MAEC</w:t>
      </w:r>
    </w:p>
    <w:p w14:paraId="79E9216C" w14:textId="77777777" w:rsidR="00BC55F4" w:rsidRPr="00BC55F4" w:rsidRDefault="00BC55F4" w:rsidP="00C412C1">
      <w:pPr>
        <w:jc w:val="both"/>
      </w:pPr>
      <w:r>
        <w:t xml:space="preserve">Det er blitt avviklet en studietur tilgjengelig for alle som studerer bachelor i matematikk og økonomi med økonomisk støtte fra instituttet. Ideen bak turen var å bygge et bedre sosialt miljø ved studiet, og å motarbeide frafall, samtidig som studentene får komme seg ut i verden og oppleve noe faglig relevant </w:t>
      </w:r>
      <w:r w:rsidR="00E92313">
        <w:t xml:space="preserve">”ute i </w:t>
      </w:r>
      <w:r>
        <w:t>hverdagen”.</w:t>
      </w:r>
    </w:p>
    <w:p w14:paraId="7FB414C1" w14:textId="77777777" w:rsidR="00712854" w:rsidRDefault="00712854" w:rsidP="00C412C1">
      <w:pPr>
        <w:jc w:val="both"/>
        <w:rPr>
          <w:b/>
        </w:rPr>
      </w:pPr>
    </w:p>
    <w:p w14:paraId="3A8D3F4D" w14:textId="77777777" w:rsidR="00712854" w:rsidRDefault="00712854" w:rsidP="00C412C1">
      <w:pPr>
        <w:jc w:val="both"/>
        <w:rPr>
          <w:b/>
        </w:rPr>
      </w:pPr>
      <w:r>
        <w:rPr>
          <w:b/>
        </w:rPr>
        <w:t>Planlegging</w:t>
      </w:r>
    </w:p>
    <w:p w14:paraId="57C24B4E" w14:textId="63113F11" w:rsidR="00BC55F4" w:rsidRPr="00BC55F4" w:rsidRDefault="004B646A" w:rsidP="00C412C1">
      <w:pPr>
        <w:jc w:val="both"/>
      </w:pPr>
      <w:r>
        <w:t xml:space="preserve">Jeg tok kontakt med </w:t>
      </w:r>
      <w:proofErr w:type="spellStart"/>
      <w:r>
        <w:t>Biljana</w:t>
      </w:r>
      <w:proofErr w:type="spellEnd"/>
      <w:r>
        <w:t xml:space="preserve"> i j</w:t>
      </w:r>
      <w:r w:rsidR="00BC55F4">
        <w:t>anuar. All dialog med instituttet har gått gjennom henne. Vi ble enig om at den beste måten å avvikle en studietur var om den ble arrangert og gjennomført av studentene selv. Vi opprettet en komite med fire studenter, som samarbeidet om å bestemme destinasjon, ordne med nødvendige billetter/overnatting og arrangere et faglig opplegg. Vi tok kontakt med studenter ved studiet gjennom felles-mail og ”jungel-telegrafen”. Vi holdt et felles møte med bindene påmelding i febr</w:t>
      </w:r>
      <w:r w:rsidR="00EF631A">
        <w:t>uar, etter å ha lagt turen til B</w:t>
      </w:r>
      <w:r w:rsidR="00BC55F4">
        <w:t>erlin 2</w:t>
      </w:r>
      <w:r>
        <w:t>.</w:t>
      </w:r>
      <w:r w:rsidR="00BC55F4">
        <w:t>-7</w:t>
      </w:r>
      <w:r>
        <w:t>.</w:t>
      </w:r>
      <w:r w:rsidR="00BC55F4">
        <w:t xml:space="preserve"> april ettersom dette passet best med midtveiseksamener og obligatoriske innleveringer for studentene. T</w:t>
      </w:r>
      <w:r w:rsidR="00EF631A">
        <w:t>uren ble planlagt i løpet av 2 måneder</w:t>
      </w:r>
      <w:r w:rsidR="00BC55F4">
        <w:t>, og det var god nok tid.  26 studenter meldte seg på turen, hvor av 24 studenter deltok.</w:t>
      </w:r>
    </w:p>
    <w:p w14:paraId="53CFE379" w14:textId="77777777" w:rsidR="00712854" w:rsidRDefault="00712854" w:rsidP="00C412C1">
      <w:pPr>
        <w:jc w:val="both"/>
        <w:rPr>
          <w:b/>
        </w:rPr>
      </w:pPr>
    </w:p>
    <w:p w14:paraId="695687A0" w14:textId="77777777" w:rsidR="00D9406F" w:rsidRDefault="00712854" w:rsidP="00C412C1">
      <w:pPr>
        <w:jc w:val="both"/>
        <w:rPr>
          <w:b/>
        </w:rPr>
      </w:pPr>
      <w:r>
        <w:rPr>
          <w:b/>
        </w:rPr>
        <w:t>Enkelt budsjett</w:t>
      </w:r>
    </w:p>
    <w:p w14:paraId="379DE9D4" w14:textId="77777777" w:rsidR="00D9406F" w:rsidRPr="00D9406F" w:rsidRDefault="00D9406F" w:rsidP="00C412C1">
      <w:pPr>
        <w:jc w:val="both"/>
      </w:pPr>
      <w:r>
        <w:t>Her er et enkelt budsjett for turen:</w:t>
      </w:r>
    </w:p>
    <w:tbl>
      <w:tblPr>
        <w:tblW w:w="4520" w:type="dxa"/>
        <w:tblInd w:w="93" w:type="dxa"/>
        <w:tblLook w:val="04A0" w:firstRow="1" w:lastRow="0" w:firstColumn="1" w:lastColumn="0" w:noHBand="0" w:noVBand="1"/>
      </w:tblPr>
      <w:tblGrid>
        <w:gridCol w:w="1300"/>
        <w:gridCol w:w="1300"/>
        <w:gridCol w:w="1920"/>
      </w:tblGrid>
      <w:tr w:rsidR="00D9406F" w:rsidRPr="00D9406F" w14:paraId="5066B3DB" w14:textId="77777777" w:rsidTr="00D9406F">
        <w:trPr>
          <w:trHeight w:val="300"/>
        </w:trPr>
        <w:tc>
          <w:tcPr>
            <w:tcW w:w="1300" w:type="dxa"/>
            <w:tcBorders>
              <w:top w:val="nil"/>
              <w:left w:val="nil"/>
              <w:bottom w:val="nil"/>
              <w:right w:val="nil"/>
            </w:tcBorders>
            <w:shd w:val="clear" w:color="auto" w:fill="auto"/>
            <w:noWrap/>
            <w:vAlign w:val="bottom"/>
            <w:hideMark/>
          </w:tcPr>
          <w:p w14:paraId="402048A6" w14:textId="77777777" w:rsidR="00D9406F" w:rsidRPr="00D9406F" w:rsidRDefault="00D9406F" w:rsidP="00C412C1">
            <w:pPr>
              <w:jc w:val="both"/>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18FF1F4"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ut</w:t>
            </w:r>
          </w:p>
        </w:tc>
        <w:tc>
          <w:tcPr>
            <w:tcW w:w="1920" w:type="dxa"/>
            <w:tcBorders>
              <w:top w:val="nil"/>
              <w:left w:val="nil"/>
              <w:bottom w:val="nil"/>
              <w:right w:val="nil"/>
            </w:tcBorders>
            <w:shd w:val="clear" w:color="auto" w:fill="auto"/>
            <w:noWrap/>
            <w:vAlign w:val="bottom"/>
            <w:hideMark/>
          </w:tcPr>
          <w:p w14:paraId="7A41FBD2"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inn</w:t>
            </w:r>
          </w:p>
        </w:tc>
      </w:tr>
      <w:tr w:rsidR="00D9406F" w:rsidRPr="00D9406F" w14:paraId="55F18E73" w14:textId="77777777" w:rsidTr="00D9406F">
        <w:trPr>
          <w:trHeight w:val="300"/>
        </w:trPr>
        <w:tc>
          <w:tcPr>
            <w:tcW w:w="1300" w:type="dxa"/>
            <w:tcBorders>
              <w:top w:val="nil"/>
              <w:left w:val="nil"/>
              <w:bottom w:val="nil"/>
              <w:right w:val="nil"/>
            </w:tcBorders>
            <w:shd w:val="clear" w:color="auto" w:fill="auto"/>
            <w:noWrap/>
            <w:vAlign w:val="bottom"/>
            <w:hideMark/>
          </w:tcPr>
          <w:p w14:paraId="0F0EA91C"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fly</w:t>
            </w:r>
          </w:p>
        </w:tc>
        <w:tc>
          <w:tcPr>
            <w:tcW w:w="1300" w:type="dxa"/>
            <w:tcBorders>
              <w:top w:val="nil"/>
              <w:left w:val="nil"/>
              <w:bottom w:val="nil"/>
              <w:right w:val="nil"/>
            </w:tcBorders>
            <w:shd w:val="clear" w:color="auto" w:fill="auto"/>
            <w:noWrap/>
            <w:vAlign w:val="bottom"/>
            <w:hideMark/>
          </w:tcPr>
          <w:p w14:paraId="407A54C3"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22400</w:t>
            </w:r>
          </w:p>
        </w:tc>
        <w:tc>
          <w:tcPr>
            <w:tcW w:w="1920" w:type="dxa"/>
            <w:tcBorders>
              <w:top w:val="nil"/>
              <w:left w:val="nil"/>
              <w:bottom w:val="nil"/>
              <w:right w:val="nil"/>
            </w:tcBorders>
            <w:shd w:val="clear" w:color="auto" w:fill="auto"/>
            <w:noWrap/>
            <w:vAlign w:val="bottom"/>
            <w:hideMark/>
          </w:tcPr>
          <w:p w14:paraId="3012A285" w14:textId="77777777" w:rsidR="00D9406F" w:rsidRPr="00D9406F" w:rsidRDefault="00D9406F" w:rsidP="00C412C1">
            <w:pPr>
              <w:jc w:val="both"/>
              <w:rPr>
                <w:rFonts w:ascii="Calibri" w:eastAsia="Times New Roman" w:hAnsi="Calibri" w:cs="Times New Roman"/>
                <w:color w:val="000000"/>
              </w:rPr>
            </w:pPr>
          </w:p>
        </w:tc>
      </w:tr>
      <w:tr w:rsidR="00D9406F" w:rsidRPr="00D9406F" w14:paraId="4C9A874F" w14:textId="77777777" w:rsidTr="00D9406F">
        <w:trPr>
          <w:trHeight w:val="300"/>
        </w:trPr>
        <w:tc>
          <w:tcPr>
            <w:tcW w:w="1300" w:type="dxa"/>
            <w:tcBorders>
              <w:top w:val="nil"/>
              <w:left w:val="nil"/>
              <w:bottom w:val="nil"/>
              <w:right w:val="nil"/>
            </w:tcBorders>
            <w:shd w:val="clear" w:color="auto" w:fill="auto"/>
            <w:noWrap/>
            <w:vAlign w:val="bottom"/>
            <w:hideMark/>
          </w:tcPr>
          <w:p w14:paraId="2EF2AC38" w14:textId="77777777" w:rsidR="00D9406F" w:rsidRPr="00D9406F" w:rsidRDefault="00D9406F" w:rsidP="00C412C1">
            <w:pPr>
              <w:jc w:val="both"/>
              <w:rPr>
                <w:rFonts w:ascii="Calibri" w:eastAsia="Times New Roman" w:hAnsi="Calibri" w:cs="Times New Roman"/>
                <w:color w:val="000000"/>
              </w:rPr>
            </w:pPr>
            <w:proofErr w:type="spellStart"/>
            <w:r w:rsidRPr="00D9406F">
              <w:rPr>
                <w:rFonts w:ascii="Calibri" w:eastAsia="Times New Roman" w:hAnsi="Calibri" w:cs="Times New Roman"/>
                <w:color w:val="000000"/>
              </w:rPr>
              <w:t>hostel</w:t>
            </w:r>
            <w:proofErr w:type="spellEnd"/>
          </w:p>
        </w:tc>
        <w:tc>
          <w:tcPr>
            <w:tcW w:w="1300" w:type="dxa"/>
            <w:tcBorders>
              <w:top w:val="nil"/>
              <w:left w:val="nil"/>
              <w:bottom w:val="nil"/>
              <w:right w:val="nil"/>
            </w:tcBorders>
            <w:shd w:val="clear" w:color="auto" w:fill="auto"/>
            <w:noWrap/>
            <w:vAlign w:val="bottom"/>
            <w:hideMark/>
          </w:tcPr>
          <w:p w14:paraId="2EC59D09"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9853</w:t>
            </w:r>
          </w:p>
        </w:tc>
        <w:tc>
          <w:tcPr>
            <w:tcW w:w="1920" w:type="dxa"/>
            <w:tcBorders>
              <w:top w:val="nil"/>
              <w:left w:val="nil"/>
              <w:bottom w:val="nil"/>
              <w:right w:val="nil"/>
            </w:tcBorders>
            <w:shd w:val="clear" w:color="auto" w:fill="auto"/>
            <w:noWrap/>
            <w:vAlign w:val="bottom"/>
            <w:hideMark/>
          </w:tcPr>
          <w:p w14:paraId="6E26410D" w14:textId="77777777" w:rsidR="00D9406F" w:rsidRPr="00D9406F" w:rsidRDefault="00D9406F" w:rsidP="00C412C1">
            <w:pPr>
              <w:jc w:val="both"/>
              <w:rPr>
                <w:rFonts w:ascii="Calibri" w:eastAsia="Times New Roman" w:hAnsi="Calibri" w:cs="Times New Roman"/>
                <w:color w:val="000000"/>
              </w:rPr>
            </w:pPr>
          </w:p>
        </w:tc>
      </w:tr>
      <w:tr w:rsidR="00D9406F" w:rsidRPr="00D9406F" w14:paraId="0C4B6AC1" w14:textId="77777777" w:rsidTr="00D9406F">
        <w:trPr>
          <w:trHeight w:val="300"/>
        </w:trPr>
        <w:tc>
          <w:tcPr>
            <w:tcW w:w="1300" w:type="dxa"/>
            <w:tcBorders>
              <w:top w:val="nil"/>
              <w:left w:val="nil"/>
              <w:bottom w:val="nil"/>
              <w:right w:val="nil"/>
            </w:tcBorders>
            <w:shd w:val="clear" w:color="auto" w:fill="auto"/>
            <w:noWrap/>
            <w:vAlign w:val="bottom"/>
            <w:hideMark/>
          </w:tcPr>
          <w:p w14:paraId="5F45B7A4"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støtte</w:t>
            </w:r>
          </w:p>
        </w:tc>
        <w:tc>
          <w:tcPr>
            <w:tcW w:w="1300" w:type="dxa"/>
            <w:tcBorders>
              <w:top w:val="nil"/>
              <w:left w:val="nil"/>
              <w:bottom w:val="nil"/>
              <w:right w:val="nil"/>
            </w:tcBorders>
            <w:shd w:val="clear" w:color="auto" w:fill="auto"/>
            <w:noWrap/>
            <w:vAlign w:val="bottom"/>
            <w:hideMark/>
          </w:tcPr>
          <w:p w14:paraId="10A2F588" w14:textId="77777777" w:rsidR="00D9406F" w:rsidRPr="00D9406F" w:rsidRDefault="00D9406F" w:rsidP="00C412C1">
            <w:pPr>
              <w:jc w:val="both"/>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56B22BE9"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23000</w:t>
            </w:r>
          </w:p>
        </w:tc>
      </w:tr>
      <w:tr w:rsidR="00D9406F" w:rsidRPr="00D9406F" w14:paraId="4F5905B9" w14:textId="77777777" w:rsidTr="00D9406F">
        <w:trPr>
          <w:trHeight w:val="300"/>
        </w:trPr>
        <w:tc>
          <w:tcPr>
            <w:tcW w:w="1300" w:type="dxa"/>
            <w:tcBorders>
              <w:top w:val="nil"/>
              <w:left w:val="nil"/>
              <w:bottom w:val="nil"/>
              <w:right w:val="nil"/>
            </w:tcBorders>
            <w:shd w:val="clear" w:color="auto" w:fill="auto"/>
            <w:noWrap/>
            <w:vAlign w:val="bottom"/>
            <w:hideMark/>
          </w:tcPr>
          <w:p w14:paraId="444B312D" w14:textId="04831FBC" w:rsidR="00D9406F" w:rsidRPr="00D9406F" w:rsidRDefault="004B646A" w:rsidP="00C412C1">
            <w:pPr>
              <w:jc w:val="both"/>
              <w:rPr>
                <w:rFonts w:ascii="Calibri" w:eastAsia="Times New Roman" w:hAnsi="Calibri" w:cs="Times New Roman"/>
                <w:color w:val="000000"/>
              </w:rPr>
            </w:pPr>
            <w:r>
              <w:rPr>
                <w:rFonts w:ascii="Calibri" w:eastAsia="Times New Roman" w:hAnsi="Calibri" w:cs="Times New Roman"/>
                <w:color w:val="000000"/>
              </w:rPr>
              <w:t>e</w:t>
            </w:r>
            <w:r w:rsidR="00D9406F" w:rsidRPr="00D9406F">
              <w:rPr>
                <w:rFonts w:ascii="Calibri" w:eastAsia="Times New Roman" w:hAnsi="Calibri" w:cs="Times New Roman"/>
                <w:color w:val="000000"/>
              </w:rPr>
              <w:t>genandel</w:t>
            </w:r>
          </w:p>
        </w:tc>
        <w:tc>
          <w:tcPr>
            <w:tcW w:w="1300" w:type="dxa"/>
            <w:tcBorders>
              <w:top w:val="nil"/>
              <w:left w:val="nil"/>
              <w:bottom w:val="nil"/>
              <w:right w:val="nil"/>
            </w:tcBorders>
            <w:shd w:val="clear" w:color="auto" w:fill="auto"/>
            <w:noWrap/>
            <w:vAlign w:val="bottom"/>
            <w:hideMark/>
          </w:tcPr>
          <w:p w14:paraId="13AA54A1" w14:textId="77777777" w:rsidR="00D9406F" w:rsidRPr="00D9406F" w:rsidRDefault="00D9406F" w:rsidP="00C412C1">
            <w:pPr>
              <w:jc w:val="both"/>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14:paraId="087D70B2"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9953</w:t>
            </w:r>
          </w:p>
        </w:tc>
      </w:tr>
      <w:tr w:rsidR="00D9406F" w:rsidRPr="00D9406F" w14:paraId="1AB407CD" w14:textId="77777777" w:rsidTr="00D9406F">
        <w:trPr>
          <w:trHeight w:val="300"/>
        </w:trPr>
        <w:tc>
          <w:tcPr>
            <w:tcW w:w="1300" w:type="dxa"/>
            <w:tcBorders>
              <w:top w:val="nil"/>
              <w:left w:val="nil"/>
              <w:bottom w:val="nil"/>
              <w:right w:val="nil"/>
            </w:tcBorders>
            <w:shd w:val="clear" w:color="auto" w:fill="auto"/>
            <w:noWrap/>
            <w:vAlign w:val="bottom"/>
            <w:hideMark/>
          </w:tcPr>
          <w:p w14:paraId="253D78BA" w14:textId="5E7FDF50"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tot</w:t>
            </w:r>
            <w:r w:rsidR="00EF631A">
              <w:rPr>
                <w:rFonts w:ascii="Calibri" w:eastAsia="Times New Roman" w:hAnsi="Calibri" w:cs="Times New Roman"/>
                <w:color w:val="000000"/>
              </w:rPr>
              <w:t>alt</w:t>
            </w:r>
          </w:p>
        </w:tc>
        <w:tc>
          <w:tcPr>
            <w:tcW w:w="1300" w:type="dxa"/>
            <w:tcBorders>
              <w:top w:val="nil"/>
              <w:left w:val="nil"/>
              <w:bottom w:val="nil"/>
              <w:right w:val="nil"/>
            </w:tcBorders>
            <w:shd w:val="clear" w:color="auto" w:fill="auto"/>
            <w:noWrap/>
            <w:vAlign w:val="bottom"/>
            <w:hideMark/>
          </w:tcPr>
          <w:p w14:paraId="424D4E56"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32253</w:t>
            </w:r>
          </w:p>
        </w:tc>
        <w:tc>
          <w:tcPr>
            <w:tcW w:w="1920" w:type="dxa"/>
            <w:tcBorders>
              <w:top w:val="nil"/>
              <w:left w:val="nil"/>
              <w:bottom w:val="nil"/>
              <w:right w:val="nil"/>
            </w:tcBorders>
            <w:shd w:val="clear" w:color="auto" w:fill="auto"/>
            <w:noWrap/>
            <w:vAlign w:val="bottom"/>
            <w:hideMark/>
          </w:tcPr>
          <w:p w14:paraId="2AC3201F" w14:textId="77777777" w:rsidR="00D9406F" w:rsidRPr="00D9406F" w:rsidRDefault="00D9406F" w:rsidP="00C412C1">
            <w:pPr>
              <w:jc w:val="both"/>
              <w:rPr>
                <w:rFonts w:ascii="Calibri" w:eastAsia="Times New Roman" w:hAnsi="Calibri" w:cs="Times New Roman"/>
                <w:color w:val="000000"/>
              </w:rPr>
            </w:pPr>
            <w:r w:rsidRPr="00D9406F">
              <w:rPr>
                <w:rFonts w:ascii="Calibri" w:eastAsia="Times New Roman" w:hAnsi="Calibri" w:cs="Times New Roman"/>
                <w:color w:val="000000"/>
              </w:rPr>
              <w:t>32953</w:t>
            </w:r>
          </w:p>
        </w:tc>
      </w:tr>
      <w:tr w:rsidR="00D9406F" w:rsidRPr="00D9406F" w14:paraId="2664902C" w14:textId="77777777" w:rsidTr="00D9406F">
        <w:trPr>
          <w:trHeight w:val="300"/>
        </w:trPr>
        <w:tc>
          <w:tcPr>
            <w:tcW w:w="1300" w:type="dxa"/>
            <w:tcBorders>
              <w:top w:val="nil"/>
              <w:left w:val="nil"/>
              <w:bottom w:val="nil"/>
              <w:right w:val="nil"/>
            </w:tcBorders>
            <w:shd w:val="clear" w:color="auto" w:fill="auto"/>
            <w:noWrap/>
            <w:vAlign w:val="bottom"/>
          </w:tcPr>
          <w:p w14:paraId="079C0257" w14:textId="77777777" w:rsidR="00D9406F" w:rsidRDefault="00D9406F" w:rsidP="00C412C1">
            <w:pPr>
              <w:jc w:val="both"/>
              <w:rPr>
                <w:rFonts w:ascii="Calibri" w:eastAsia="Times New Roman" w:hAnsi="Calibri" w:cs="Times New Roman"/>
                <w:color w:val="000000"/>
              </w:rPr>
            </w:pPr>
          </w:p>
          <w:p w14:paraId="0712864C" w14:textId="77777777" w:rsidR="00D9406F" w:rsidRPr="00D9406F" w:rsidRDefault="00D9406F" w:rsidP="00C412C1">
            <w:pPr>
              <w:jc w:val="both"/>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tcPr>
          <w:p w14:paraId="6CB6B80C" w14:textId="77777777" w:rsidR="00D9406F" w:rsidRPr="00D9406F" w:rsidRDefault="00D9406F" w:rsidP="00C412C1">
            <w:pPr>
              <w:jc w:val="both"/>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tcPr>
          <w:p w14:paraId="38BF852B" w14:textId="77777777" w:rsidR="00D9406F" w:rsidRPr="00D9406F" w:rsidRDefault="00D9406F" w:rsidP="00C412C1">
            <w:pPr>
              <w:jc w:val="both"/>
              <w:rPr>
                <w:rFonts w:ascii="Calibri" w:eastAsia="Times New Roman" w:hAnsi="Calibri" w:cs="Times New Roman"/>
                <w:color w:val="000000"/>
              </w:rPr>
            </w:pPr>
          </w:p>
        </w:tc>
      </w:tr>
    </w:tbl>
    <w:p w14:paraId="7AFBC1BF" w14:textId="0577E625" w:rsidR="00712854" w:rsidRDefault="004B646A" w:rsidP="00C412C1">
      <w:pPr>
        <w:jc w:val="both"/>
      </w:pPr>
      <w:r>
        <w:t>E</w:t>
      </w:r>
      <w:r w:rsidR="00D9406F">
        <w:t>t lite overskudd er til overs pga</w:t>
      </w:r>
      <w:r w:rsidR="00EF631A">
        <w:t>.</w:t>
      </w:r>
      <w:r w:rsidR="00D9406F">
        <w:t xml:space="preserve"> et valutapåslag  i egenandelen til studentene for hostelbetaling. Dette tenker vi å bruke på et sosialt arrangement senere i semesteret.</w:t>
      </w:r>
    </w:p>
    <w:p w14:paraId="2744AD75" w14:textId="77777777" w:rsidR="00AE1506" w:rsidRDefault="00AE1506" w:rsidP="00C412C1">
      <w:pPr>
        <w:jc w:val="both"/>
      </w:pPr>
    </w:p>
    <w:p w14:paraId="10BF18BB" w14:textId="77777777" w:rsidR="00AE1506" w:rsidRDefault="00AE1506" w:rsidP="00C412C1">
      <w:pPr>
        <w:jc w:val="both"/>
        <w:rPr>
          <w:b/>
        </w:rPr>
      </w:pPr>
      <w:r>
        <w:rPr>
          <w:b/>
        </w:rPr>
        <w:t>Faglig opplegg</w:t>
      </w:r>
    </w:p>
    <w:p w14:paraId="0E246C64" w14:textId="2807D6AE" w:rsidR="00AE1506" w:rsidRPr="00C412C1" w:rsidRDefault="00C412C1" w:rsidP="00C412C1">
      <w:pPr>
        <w:jc w:val="both"/>
        <w:rPr>
          <w:i/>
        </w:rPr>
      </w:pPr>
      <w:r w:rsidRPr="00C412C1">
        <w:rPr>
          <w:i/>
        </w:rPr>
        <w:t>Besøk hos F</w:t>
      </w:r>
      <w:r w:rsidR="00AE1506" w:rsidRPr="00C412C1">
        <w:rPr>
          <w:i/>
        </w:rPr>
        <w:t>inansdepartementet</w:t>
      </w:r>
    </w:p>
    <w:p w14:paraId="265F037C" w14:textId="3E276C81" w:rsidR="00AE1506" w:rsidRDefault="00C412C1" w:rsidP="00C412C1">
      <w:pPr>
        <w:jc w:val="both"/>
      </w:pPr>
      <w:r>
        <w:t>Torsdag 3. a</w:t>
      </w:r>
      <w:r w:rsidR="00AE1506">
        <w:t xml:space="preserve">pril besøkte alle </w:t>
      </w:r>
      <w:r>
        <w:t>studentene som deltok på turen F</w:t>
      </w:r>
      <w:r w:rsidR="00AE1506">
        <w:t>inansdepartementet. Vi fikk en kort historisk guide av bygningen. Deretter fikk vi en flott presentasjon av Tysklands makro-økonomi, med mye fokus på BNP og finansiering av statsbudsjettet. En veldig faglig relevant pr</w:t>
      </w:r>
      <w:r>
        <w:t>esentasjon for bl. annet emnet ECON1500 som alle studenter på 2. s</w:t>
      </w:r>
      <w:r w:rsidR="00AE1506">
        <w:t>emester tar nå.</w:t>
      </w:r>
    </w:p>
    <w:p w14:paraId="261566A5" w14:textId="77777777" w:rsidR="00AE1506" w:rsidRDefault="00AE1506" w:rsidP="00C412C1">
      <w:pPr>
        <w:jc w:val="both"/>
      </w:pPr>
    </w:p>
    <w:p w14:paraId="1E0F7D11" w14:textId="77777777" w:rsidR="00AE1506" w:rsidRPr="00C412C1" w:rsidRDefault="00AE1506" w:rsidP="00C412C1">
      <w:pPr>
        <w:jc w:val="both"/>
        <w:rPr>
          <w:i/>
        </w:rPr>
      </w:pPr>
      <w:r w:rsidRPr="00C412C1">
        <w:rPr>
          <w:i/>
        </w:rPr>
        <w:t>Besøk hos Deutsche bank</w:t>
      </w:r>
    </w:p>
    <w:p w14:paraId="533DC6B2" w14:textId="383F8E5B" w:rsidR="00AE1506" w:rsidRDefault="00C412C1" w:rsidP="00C412C1">
      <w:pPr>
        <w:jc w:val="both"/>
      </w:pPr>
      <w:r>
        <w:t xml:space="preserve">Fredag 4. april besøkte vi en </w:t>
      </w:r>
      <w:r w:rsidR="00AE1506">
        <w:t>seksjon av Deutsche Bank som har sitt hovedfokus på innovative bankløsninger. Vi fikk en innføring i hvordan banken tenkte fremtidsorientert, og hvordan de prøvde å bruke følelser og trygghet som virkemiddel for at bankens kunder skal føle seg hjemme. Det var en interessant presentasjon med en litt annen innfallsvinkel en det vi er vant til fra studiene på Blindern.</w:t>
      </w:r>
    </w:p>
    <w:p w14:paraId="03FC8C7C" w14:textId="77777777" w:rsidR="00AE1506" w:rsidRDefault="00AE1506" w:rsidP="00C412C1">
      <w:pPr>
        <w:jc w:val="both"/>
      </w:pPr>
    </w:p>
    <w:p w14:paraId="0AA62128" w14:textId="043DA146" w:rsidR="00AE1506" w:rsidRPr="00C412C1" w:rsidRDefault="00AE1506" w:rsidP="00C412C1">
      <w:pPr>
        <w:jc w:val="both"/>
        <w:rPr>
          <w:i/>
        </w:rPr>
      </w:pPr>
      <w:r w:rsidRPr="00C412C1">
        <w:rPr>
          <w:i/>
        </w:rPr>
        <w:lastRenderedPageBreak/>
        <w:t>B</w:t>
      </w:r>
      <w:r w:rsidR="00C412C1">
        <w:rPr>
          <w:i/>
        </w:rPr>
        <w:t>esøk hos M</w:t>
      </w:r>
      <w:r w:rsidRPr="00C412C1">
        <w:rPr>
          <w:i/>
        </w:rPr>
        <w:t xml:space="preserve">atematisk institutt ved </w:t>
      </w:r>
      <w:proofErr w:type="spellStart"/>
      <w:r w:rsidRPr="00C412C1">
        <w:rPr>
          <w:i/>
        </w:rPr>
        <w:t>Freie</w:t>
      </w:r>
      <w:proofErr w:type="spellEnd"/>
      <w:r w:rsidRPr="00C412C1">
        <w:rPr>
          <w:i/>
        </w:rPr>
        <w:t xml:space="preserve"> </w:t>
      </w:r>
      <w:proofErr w:type="spellStart"/>
      <w:r w:rsidRPr="00C412C1">
        <w:rPr>
          <w:i/>
        </w:rPr>
        <w:t>Universität</w:t>
      </w:r>
      <w:proofErr w:type="spellEnd"/>
      <w:r w:rsidRPr="00C412C1">
        <w:rPr>
          <w:i/>
        </w:rPr>
        <w:t xml:space="preserve"> Berlin</w:t>
      </w:r>
    </w:p>
    <w:p w14:paraId="2252A02C" w14:textId="7945154B" w:rsidR="00AE1506" w:rsidRPr="00D9406F" w:rsidRDefault="00AE1506" w:rsidP="00C412C1">
      <w:pPr>
        <w:jc w:val="both"/>
      </w:pPr>
      <w:r>
        <w:t>Fredag 4.</w:t>
      </w:r>
      <w:r w:rsidR="00C412C1">
        <w:t xml:space="preserve"> April møtte vi en student ved M</w:t>
      </w:r>
      <w:r>
        <w:t>atematisk institutt som viste oss rundt på universitetet og diskuterte faglige forskjeller og likheter ved de to universitetene. Dette var et noe uformelt møte og handlet gjerne mer om å bygge nettverk blant matematikkstudenter internasjonalt fremfor spesifikt faglig innhold.</w:t>
      </w:r>
    </w:p>
    <w:p w14:paraId="56D78B01" w14:textId="77777777" w:rsidR="00AE1506" w:rsidRDefault="00AE1506" w:rsidP="00C412C1">
      <w:pPr>
        <w:jc w:val="both"/>
      </w:pPr>
    </w:p>
    <w:p w14:paraId="25FC8918" w14:textId="77777777" w:rsidR="00D9406F" w:rsidRPr="00D9406F" w:rsidRDefault="00D9406F" w:rsidP="00C412C1">
      <w:pPr>
        <w:jc w:val="both"/>
      </w:pPr>
    </w:p>
    <w:p w14:paraId="64242E7D" w14:textId="77777777" w:rsidR="00712854" w:rsidRDefault="00712854" w:rsidP="00C412C1">
      <w:pPr>
        <w:jc w:val="both"/>
        <w:rPr>
          <w:b/>
        </w:rPr>
      </w:pPr>
      <w:r>
        <w:rPr>
          <w:b/>
        </w:rPr>
        <w:t>Sosialt</w:t>
      </w:r>
    </w:p>
    <w:p w14:paraId="5B186A45" w14:textId="6A4ECF16" w:rsidR="00E92313" w:rsidRPr="00E92313" w:rsidRDefault="00E92313" w:rsidP="00C412C1">
      <w:pPr>
        <w:jc w:val="both"/>
      </w:pPr>
      <w:r>
        <w:t xml:space="preserve">Utenom det faglige programmet har rammene for turen vært ganske løse – studentene har hatt frie tøyler til å gjøre som de selv vil –  men det har vært felles aktiviteter hver dag på turen. Torsdag og fredag var det faglig opplegg på dagtid. Lørdag arrangerte vi felles middag på en restaurant nær </w:t>
      </w:r>
      <w:proofErr w:type="spellStart"/>
      <w:r>
        <w:t>hostellet</w:t>
      </w:r>
      <w:proofErr w:type="spellEnd"/>
      <w:r>
        <w:t xml:space="preserve">, og søndag var det felles tur til Zoologisk hage i Berlin. Ellers har mindre grupper gjort ulike aktiviteter: dratt på fotballkamp, besøkt historiske steder og museum, vært på sykkeltur osv. </w:t>
      </w:r>
      <w:r w:rsidR="00C412C1">
        <w:t xml:space="preserve"> </w:t>
      </w:r>
      <w:r>
        <w:t xml:space="preserve">Som gruppeleder har jeg hele tiden prøvd å passe på at ingen har måttet være aleine uten at de selv ønsker det – men dette viste seg å ikke være problematisk i det hele tatt. Jeg tror turen har i stor grad bidratt til sterkere sosiale bånd mellom studentene, også på tvers av </w:t>
      </w:r>
      <w:proofErr w:type="spellStart"/>
      <w:r>
        <w:t>årstrinn</w:t>
      </w:r>
      <w:proofErr w:type="spellEnd"/>
      <w:r>
        <w:t xml:space="preserve"> studentene befinner seg på.</w:t>
      </w:r>
    </w:p>
    <w:p w14:paraId="52B1B261" w14:textId="77777777" w:rsidR="00E92313" w:rsidRDefault="00E92313" w:rsidP="00C412C1">
      <w:pPr>
        <w:jc w:val="both"/>
        <w:rPr>
          <w:b/>
        </w:rPr>
      </w:pPr>
    </w:p>
    <w:p w14:paraId="061520DD" w14:textId="77777777" w:rsidR="00E92313" w:rsidRDefault="00E92313" w:rsidP="00C412C1">
      <w:pPr>
        <w:jc w:val="both"/>
        <w:rPr>
          <w:b/>
        </w:rPr>
      </w:pPr>
    </w:p>
    <w:p w14:paraId="739A67CB" w14:textId="6C6B6E1C" w:rsidR="00D9406F" w:rsidRDefault="00D9406F" w:rsidP="00C412C1">
      <w:pPr>
        <w:jc w:val="both"/>
      </w:pPr>
      <w:r>
        <w:t>Jeg har snakket med studentene på vei hjem fra turen, og det virker som de fleste er veldig fornøyde med turen og</w:t>
      </w:r>
      <w:r w:rsidR="00AE1506">
        <w:t xml:space="preserve"> hvordan den ble avviklet</w:t>
      </w:r>
      <w:r w:rsidR="00E92313">
        <w:t>.</w:t>
      </w:r>
    </w:p>
    <w:p w14:paraId="058CC8B7" w14:textId="77777777" w:rsidR="007654E0" w:rsidRDefault="007654E0" w:rsidP="00C412C1">
      <w:pPr>
        <w:jc w:val="both"/>
      </w:pPr>
    </w:p>
    <w:p w14:paraId="04FCD29A" w14:textId="77777777" w:rsidR="007654E0" w:rsidRDefault="007654E0" w:rsidP="00C412C1">
      <w:pPr>
        <w:jc w:val="both"/>
      </w:pPr>
      <w:r>
        <w:t>Med vennlig hilsen</w:t>
      </w:r>
    </w:p>
    <w:p w14:paraId="7228014F" w14:textId="77777777" w:rsidR="007654E0" w:rsidRDefault="007654E0" w:rsidP="00C412C1">
      <w:pPr>
        <w:jc w:val="both"/>
      </w:pPr>
      <w:r>
        <w:t>Turkomite</w:t>
      </w:r>
    </w:p>
    <w:p w14:paraId="03C729B7" w14:textId="77777777" w:rsidR="007654E0" w:rsidRDefault="007654E0" w:rsidP="00C412C1">
      <w:pPr>
        <w:jc w:val="both"/>
      </w:pPr>
      <w:r>
        <w:t>v/ Magnus Hodnekvam</w:t>
      </w:r>
    </w:p>
    <w:p w14:paraId="0A980842" w14:textId="77777777" w:rsidR="007654E0" w:rsidRDefault="007654E0"/>
    <w:p w14:paraId="058176FD" w14:textId="77777777" w:rsidR="00E92313" w:rsidRDefault="00E92313"/>
    <w:p w14:paraId="52BE856D" w14:textId="77777777" w:rsidR="00E92313" w:rsidRPr="00D9406F" w:rsidRDefault="00E92313"/>
    <w:p w14:paraId="7211854E" w14:textId="77777777" w:rsidR="00D9406F" w:rsidRDefault="00D9406F">
      <w:pPr>
        <w:rPr>
          <w:b/>
        </w:rPr>
      </w:pPr>
      <w:bookmarkStart w:id="0" w:name="_GoBack"/>
      <w:bookmarkEnd w:id="0"/>
    </w:p>
    <w:sectPr w:rsidR="00D9406F" w:rsidSect="00FA52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4"/>
    <w:rsid w:val="000049A1"/>
    <w:rsid w:val="0015519E"/>
    <w:rsid w:val="004B646A"/>
    <w:rsid w:val="00712854"/>
    <w:rsid w:val="007654E0"/>
    <w:rsid w:val="00AE1506"/>
    <w:rsid w:val="00BC55F4"/>
    <w:rsid w:val="00C412C1"/>
    <w:rsid w:val="00D9406F"/>
    <w:rsid w:val="00E92313"/>
    <w:rsid w:val="00EF631A"/>
    <w:rsid w:val="00FA52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5F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6202">
      <w:bodyDiv w:val="1"/>
      <w:marLeft w:val="0"/>
      <w:marRight w:val="0"/>
      <w:marTop w:val="0"/>
      <w:marBottom w:val="0"/>
      <w:divBdr>
        <w:top w:val="none" w:sz="0" w:space="0" w:color="auto"/>
        <w:left w:val="none" w:sz="0" w:space="0" w:color="auto"/>
        <w:bottom w:val="none" w:sz="0" w:space="0" w:color="auto"/>
        <w:right w:val="none" w:sz="0" w:space="0" w:color="auto"/>
      </w:divBdr>
    </w:div>
    <w:div w:id="778833659">
      <w:bodyDiv w:val="1"/>
      <w:marLeft w:val="0"/>
      <w:marRight w:val="0"/>
      <w:marTop w:val="0"/>
      <w:marBottom w:val="0"/>
      <w:divBdr>
        <w:top w:val="none" w:sz="0" w:space="0" w:color="auto"/>
        <w:left w:val="none" w:sz="0" w:space="0" w:color="auto"/>
        <w:bottom w:val="none" w:sz="0" w:space="0" w:color="auto"/>
        <w:right w:val="none" w:sz="0" w:space="0" w:color="auto"/>
      </w:divBdr>
    </w:div>
    <w:div w:id="84910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551</Words>
  <Characters>3142</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Bruker ved UiO</cp:lastModifiedBy>
  <cp:revision>3</cp:revision>
  <dcterms:created xsi:type="dcterms:W3CDTF">2014-04-29T13:59:00Z</dcterms:created>
  <dcterms:modified xsi:type="dcterms:W3CDTF">2014-05-05T13:52:00Z</dcterms:modified>
</cp:coreProperties>
</file>