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0" w:type="dxa"/>
        <w:tblLook w:val="04A0" w:firstRow="1" w:lastRow="0" w:firstColumn="1" w:lastColumn="0" w:noHBand="0" w:noVBand="1"/>
      </w:tblPr>
      <w:tblGrid>
        <w:gridCol w:w="4644"/>
        <w:gridCol w:w="4644"/>
      </w:tblGrid>
      <w:tr w:rsidR="0056002C" w:rsidTr="002236E3">
        <w:tc>
          <w:tcPr>
            <w:tcW w:w="9288" w:type="dxa"/>
            <w:gridSpan w:val="2"/>
            <w:tcBorders>
              <w:top w:val="single" w:sz="4" w:space="0" w:color="auto"/>
              <w:left w:val="single" w:sz="4" w:space="0" w:color="auto"/>
              <w:bottom w:val="single" w:sz="4" w:space="0" w:color="auto"/>
              <w:right w:val="single" w:sz="4" w:space="0" w:color="auto"/>
            </w:tcBorders>
          </w:tcPr>
          <w:p w:rsidR="00C4764B" w:rsidRDefault="0056002C" w:rsidP="00C4764B">
            <w:pPr>
              <w:spacing w:before="240"/>
              <w:jc w:val="center"/>
              <w:rPr>
                <w:rFonts w:asciiTheme="majorHAnsi" w:hAnsiTheme="majorHAnsi"/>
                <w:b/>
                <w:sz w:val="28"/>
                <w:szCs w:val="28"/>
              </w:rPr>
            </w:pPr>
            <w:r>
              <w:rPr>
                <w:rFonts w:asciiTheme="majorHAnsi" w:hAnsiTheme="majorHAnsi"/>
                <w:b/>
                <w:sz w:val="28"/>
                <w:szCs w:val="28"/>
              </w:rPr>
              <w:t xml:space="preserve">Innføring i pedagogikk </w:t>
            </w:r>
          </w:p>
          <w:p w:rsidR="0056002C" w:rsidRDefault="0056002C" w:rsidP="00CE433C"/>
          <w:p w:rsidR="0056002C" w:rsidRPr="002D6F71" w:rsidRDefault="0056002C" w:rsidP="00CE433C">
            <w:pPr>
              <w:rPr>
                <w:sz w:val="20"/>
                <w:szCs w:val="20"/>
              </w:rPr>
            </w:pPr>
            <w:r>
              <w:rPr>
                <w:sz w:val="20"/>
                <w:szCs w:val="20"/>
              </w:rPr>
              <w:t xml:space="preserve">PED 1001 og 1002 gir en innføring i sentrale temaer og områder innen det det pedagogiske fagfeltet. Emnene </w:t>
            </w:r>
            <w:r w:rsidR="00E51018">
              <w:rPr>
                <w:sz w:val="20"/>
                <w:szCs w:val="20"/>
              </w:rPr>
              <w:t xml:space="preserve">henger tematisk sammen </w:t>
            </w:r>
            <w:r>
              <w:rPr>
                <w:sz w:val="20"/>
                <w:szCs w:val="20"/>
              </w:rPr>
              <w:t>og utfyller hverandre.</w:t>
            </w:r>
            <w:r w:rsidR="004B37B4">
              <w:rPr>
                <w:sz w:val="20"/>
                <w:szCs w:val="20"/>
              </w:rPr>
              <w:t xml:space="preserve"> </w:t>
            </w:r>
            <w:r>
              <w:rPr>
                <w:sz w:val="20"/>
                <w:szCs w:val="20"/>
              </w:rPr>
              <w:t xml:space="preserve"> Gjennom å arbeide med emnene lærer du å</w:t>
            </w:r>
            <w:r>
              <w:rPr>
                <w:color w:val="C00000"/>
                <w:sz w:val="20"/>
                <w:szCs w:val="20"/>
              </w:rPr>
              <w:t xml:space="preserve"> </w:t>
            </w:r>
            <w:r>
              <w:rPr>
                <w:sz w:val="20"/>
                <w:szCs w:val="20"/>
              </w:rPr>
              <w:t xml:space="preserve">analysere og forstå pedagogiske prosesser som angår individer enkeltvis og hvordan de samhandler innenfor pedagogiske institusjoner, og i samfunns- og arbeidsliv. I tillegg omhandler emnet samfunnsskapte forutsetninger, prosesser og forventinger til </w:t>
            </w:r>
            <w:r w:rsidRPr="002D6F71">
              <w:rPr>
                <w:sz w:val="20"/>
                <w:szCs w:val="20"/>
              </w:rPr>
              <w:t xml:space="preserve">pedagogiske virksomheter slik de formes av lokale og globale forhold. </w:t>
            </w:r>
          </w:p>
          <w:p w:rsidR="0056002C" w:rsidRPr="002D6F71" w:rsidRDefault="0056002C" w:rsidP="00CE433C">
            <w:pPr>
              <w:rPr>
                <w:sz w:val="20"/>
                <w:szCs w:val="20"/>
              </w:rPr>
            </w:pPr>
          </w:p>
          <w:p w:rsidR="0056002C" w:rsidRPr="002D6F71" w:rsidRDefault="0056002C" w:rsidP="00CE433C">
            <w:pPr>
              <w:rPr>
                <w:sz w:val="20"/>
                <w:szCs w:val="20"/>
              </w:rPr>
            </w:pPr>
            <w:r w:rsidRPr="002D6F71">
              <w:rPr>
                <w:sz w:val="20"/>
                <w:szCs w:val="20"/>
              </w:rPr>
              <w:t xml:space="preserve">Individets utvikling, og gjenskaping og fornyelse av de menneskelige ressursene i samfunnet er pedagogikkfagets anliggende. Dette omfatter kunnskaper som bidrar til at nye generasjoner kan vokse opp og være aktive samfunnsmennesker. Sentralt står læring og tilegning av </w:t>
            </w:r>
            <w:r w:rsidR="00ED49F4">
              <w:rPr>
                <w:sz w:val="20"/>
                <w:szCs w:val="20"/>
              </w:rPr>
              <w:t xml:space="preserve">kunnskaper, språk og andre </w:t>
            </w:r>
            <w:r w:rsidRPr="002D6F71">
              <w:rPr>
                <w:sz w:val="20"/>
                <w:szCs w:val="20"/>
              </w:rPr>
              <w:t>s</w:t>
            </w:r>
            <w:r w:rsidR="00ED49F4">
              <w:rPr>
                <w:sz w:val="20"/>
                <w:szCs w:val="20"/>
              </w:rPr>
              <w:t>ymboler</w:t>
            </w:r>
            <w:r w:rsidR="00C4764B">
              <w:rPr>
                <w:sz w:val="20"/>
                <w:szCs w:val="20"/>
              </w:rPr>
              <w:t>,</w:t>
            </w:r>
            <w:r w:rsidRPr="002D6F71">
              <w:rPr>
                <w:sz w:val="20"/>
                <w:szCs w:val="20"/>
              </w:rPr>
              <w:t xml:space="preserve"> samt </w:t>
            </w:r>
            <w:r w:rsidR="00ED49F4">
              <w:rPr>
                <w:sz w:val="20"/>
                <w:szCs w:val="20"/>
              </w:rPr>
              <w:t>utvikling og opplæring</w:t>
            </w:r>
            <w:r w:rsidRPr="002D6F71">
              <w:rPr>
                <w:sz w:val="20"/>
                <w:szCs w:val="20"/>
              </w:rPr>
              <w:t xml:space="preserve"> av dyktige </w:t>
            </w:r>
            <w:r w:rsidR="00ED49F4">
              <w:rPr>
                <w:sz w:val="20"/>
                <w:szCs w:val="20"/>
              </w:rPr>
              <w:t>aktører</w:t>
            </w:r>
            <w:r w:rsidRPr="002D6F71">
              <w:rPr>
                <w:sz w:val="20"/>
                <w:szCs w:val="20"/>
              </w:rPr>
              <w:t>. Oppdragelse og danning av forpliktende individuelle og fellesmenneskelige verdier er andre pedagogisk kjerneområder.</w:t>
            </w:r>
          </w:p>
          <w:p w:rsidR="0056002C" w:rsidRPr="002D6F71" w:rsidRDefault="0056002C" w:rsidP="00CE433C">
            <w:pPr>
              <w:rPr>
                <w:sz w:val="20"/>
                <w:szCs w:val="20"/>
              </w:rPr>
            </w:pPr>
          </w:p>
          <w:p w:rsidR="0056002C" w:rsidRPr="002D6F71" w:rsidRDefault="009A4E50" w:rsidP="00CE433C">
            <w:pPr>
              <w:rPr>
                <w:sz w:val="20"/>
                <w:szCs w:val="20"/>
              </w:rPr>
            </w:pPr>
            <w:r>
              <w:rPr>
                <w:sz w:val="20"/>
                <w:szCs w:val="20"/>
              </w:rPr>
              <w:t>Gjennomgangstema i emnet er</w:t>
            </w:r>
            <w:r w:rsidR="0056002C" w:rsidRPr="002D6F71">
              <w:rPr>
                <w:sz w:val="20"/>
                <w:szCs w:val="20"/>
              </w:rPr>
              <w:t xml:space="preserve"> pedagogiske prosesser og de krevende sammenhengene mellom individer, kultur, </w:t>
            </w:r>
            <w:r w:rsidR="004B37B4" w:rsidRPr="002D6F71">
              <w:rPr>
                <w:sz w:val="20"/>
                <w:szCs w:val="20"/>
              </w:rPr>
              <w:t>samfunn og</w:t>
            </w:r>
            <w:r w:rsidR="0056002C" w:rsidRPr="002D6F71">
              <w:rPr>
                <w:sz w:val="20"/>
                <w:szCs w:val="20"/>
              </w:rPr>
              <w:t xml:space="preserve"> pedagogiske institusjoner.  </w:t>
            </w:r>
            <w:r w:rsidR="005C2B9B" w:rsidRPr="002D6F71">
              <w:rPr>
                <w:sz w:val="20"/>
                <w:szCs w:val="20"/>
              </w:rPr>
              <w:t>Et faglig</w:t>
            </w:r>
            <w:r w:rsidR="0056002C" w:rsidRPr="002D6F71">
              <w:rPr>
                <w:sz w:val="20"/>
                <w:szCs w:val="20"/>
              </w:rPr>
              <w:t xml:space="preserve"> kjennetegn </w:t>
            </w:r>
            <w:r w:rsidR="005C2B9B" w:rsidRPr="002D6F71">
              <w:rPr>
                <w:sz w:val="20"/>
                <w:szCs w:val="20"/>
              </w:rPr>
              <w:t>ved</w:t>
            </w:r>
            <w:r w:rsidR="0056002C" w:rsidRPr="002D6F71">
              <w:rPr>
                <w:sz w:val="20"/>
                <w:szCs w:val="20"/>
              </w:rPr>
              <w:t xml:space="preserve"> ulike pedagogiske </w:t>
            </w:r>
            <w:r w:rsidR="005C2B9B" w:rsidRPr="002D6F71">
              <w:rPr>
                <w:sz w:val="20"/>
                <w:szCs w:val="20"/>
              </w:rPr>
              <w:t>prosesser</w:t>
            </w:r>
            <w:r w:rsidR="0056002C" w:rsidRPr="002D6F71">
              <w:rPr>
                <w:sz w:val="20"/>
                <w:szCs w:val="20"/>
              </w:rPr>
              <w:t xml:space="preserve"> er at de ofte omhandler menneskelige forandringer som ikke er avsluttet. Et annet felles kjennetegn er at mange kunnskapsområder belyser og vurderer framtidige utviklingsveier og mulige tiltak.</w:t>
            </w:r>
            <w:r w:rsidR="002D6F71" w:rsidRPr="002D6F71">
              <w:rPr>
                <w:sz w:val="20"/>
                <w:szCs w:val="20"/>
              </w:rPr>
              <w:t xml:space="preserve"> Det pedagogiske fagfeltet forbinder dermed normative og empiriske</w:t>
            </w:r>
            <w:r w:rsidR="002D6F71">
              <w:rPr>
                <w:sz w:val="20"/>
                <w:szCs w:val="20"/>
              </w:rPr>
              <w:t xml:space="preserve"> aspekter</w:t>
            </w:r>
            <w:r w:rsidR="002D6F71" w:rsidRPr="002D6F71">
              <w:rPr>
                <w:sz w:val="20"/>
                <w:szCs w:val="20"/>
              </w:rPr>
              <w:t xml:space="preserve">. </w:t>
            </w:r>
          </w:p>
          <w:p w:rsidR="0056002C" w:rsidRDefault="0056002C" w:rsidP="00CE433C">
            <w:pPr>
              <w:rPr>
                <w:sz w:val="20"/>
                <w:szCs w:val="20"/>
              </w:rPr>
            </w:pPr>
            <w:r>
              <w:rPr>
                <w:sz w:val="20"/>
                <w:szCs w:val="20"/>
              </w:rPr>
              <w:t xml:space="preserve"> </w:t>
            </w:r>
          </w:p>
          <w:p w:rsidR="0056002C" w:rsidRDefault="0056002C" w:rsidP="00CE433C">
            <w:pPr>
              <w:rPr>
                <w:sz w:val="20"/>
                <w:szCs w:val="20"/>
              </w:rPr>
            </w:pPr>
            <w:r>
              <w:rPr>
                <w:sz w:val="20"/>
                <w:szCs w:val="20"/>
              </w:rPr>
              <w:t xml:space="preserve">Dette innføringsemnet i pedagogikk er organisert i to deler, hver på 20 stp. </w:t>
            </w:r>
            <w:r w:rsidR="004B37B4">
              <w:rPr>
                <w:sz w:val="20"/>
                <w:szCs w:val="20"/>
              </w:rPr>
              <w:t>Det anbefales at man tar PED1001 før man tar PED1002.</w:t>
            </w:r>
          </w:p>
          <w:p w:rsidR="0056002C" w:rsidRDefault="0056002C" w:rsidP="00CE433C">
            <w:pPr>
              <w:rPr>
                <w:sz w:val="20"/>
                <w:szCs w:val="20"/>
              </w:rPr>
            </w:pPr>
          </w:p>
          <w:p w:rsidR="0056002C" w:rsidRDefault="0056002C" w:rsidP="00CE433C">
            <w:pPr>
              <w:pStyle w:val="ListParagraph"/>
              <w:numPr>
                <w:ilvl w:val="0"/>
                <w:numId w:val="1"/>
              </w:numPr>
              <w:rPr>
                <w:rFonts w:asciiTheme="minorHAnsi" w:hAnsiTheme="minorHAnsi"/>
                <w:iCs/>
                <w:sz w:val="20"/>
                <w:szCs w:val="20"/>
              </w:rPr>
            </w:pPr>
            <w:r>
              <w:rPr>
                <w:rFonts w:asciiTheme="minorHAnsi" w:hAnsiTheme="minorHAnsi"/>
                <w:sz w:val="20"/>
                <w:szCs w:val="20"/>
              </w:rPr>
              <w:t xml:space="preserve">Første del: INDIVIDER OG INSTITUSJONER gjennomføres gjerne sammen med </w:t>
            </w:r>
            <w:proofErr w:type="spellStart"/>
            <w:r>
              <w:rPr>
                <w:rFonts w:asciiTheme="minorHAnsi" w:hAnsiTheme="minorHAnsi"/>
                <w:sz w:val="20"/>
                <w:szCs w:val="20"/>
              </w:rPr>
              <w:t>UVExFac</w:t>
            </w:r>
            <w:proofErr w:type="spellEnd"/>
            <w:r>
              <w:rPr>
                <w:rFonts w:asciiTheme="minorHAnsi" w:hAnsiTheme="minorHAnsi"/>
                <w:sz w:val="20"/>
                <w:szCs w:val="20"/>
              </w:rPr>
              <w:t xml:space="preserve">. Denne delen er konsentrert om tema knyttet til individer og samfunnsinstitusjoner som skole og barnehage og tar for seg prosessformene </w:t>
            </w:r>
            <w:r>
              <w:rPr>
                <w:rFonts w:asciiTheme="minorHAnsi" w:hAnsiTheme="minorHAnsi"/>
                <w:iCs/>
                <w:sz w:val="20"/>
                <w:szCs w:val="20"/>
              </w:rPr>
              <w:t xml:space="preserve">læring, utvikling, og utdanning. </w:t>
            </w:r>
          </w:p>
          <w:p w:rsidR="009A4E50" w:rsidRPr="00AF2E23" w:rsidRDefault="009A4E50" w:rsidP="009A4E50">
            <w:pPr>
              <w:pStyle w:val="ListParagraph"/>
              <w:rPr>
                <w:rFonts w:asciiTheme="minorHAnsi" w:hAnsiTheme="minorHAnsi"/>
                <w:iCs/>
                <w:sz w:val="20"/>
                <w:szCs w:val="20"/>
              </w:rPr>
            </w:pPr>
          </w:p>
          <w:p w:rsidR="0056002C" w:rsidRDefault="0056002C" w:rsidP="00CE433C">
            <w:pPr>
              <w:pStyle w:val="ListParagraph"/>
              <w:numPr>
                <w:ilvl w:val="0"/>
                <w:numId w:val="1"/>
              </w:numPr>
              <w:rPr>
                <w:rFonts w:asciiTheme="minorHAnsi" w:hAnsiTheme="minorHAnsi"/>
                <w:iCs/>
                <w:sz w:val="20"/>
                <w:szCs w:val="20"/>
              </w:rPr>
            </w:pPr>
            <w:r>
              <w:rPr>
                <w:rFonts w:asciiTheme="minorHAnsi" w:hAnsiTheme="minorHAnsi"/>
                <w:iCs/>
                <w:sz w:val="20"/>
                <w:szCs w:val="20"/>
              </w:rPr>
              <w:t xml:space="preserve">Andre del: INSTITUSJONER OG SAMFUNN gjennomføres sammen med </w:t>
            </w:r>
            <w:proofErr w:type="spellStart"/>
            <w:r>
              <w:rPr>
                <w:rFonts w:asciiTheme="minorHAnsi" w:hAnsiTheme="minorHAnsi"/>
                <w:iCs/>
                <w:sz w:val="20"/>
                <w:szCs w:val="20"/>
              </w:rPr>
              <w:t>ExPhil</w:t>
            </w:r>
            <w:proofErr w:type="spellEnd"/>
            <w:r>
              <w:rPr>
                <w:rFonts w:asciiTheme="minorHAnsi" w:hAnsiTheme="minorHAnsi"/>
                <w:iCs/>
                <w:sz w:val="20"/>
                <w:szCs w:val="20"/>
              </w:rPr>
              <w:t xml:space="preserve">. Delen legger hovedvekt på sosialisering og utdanning, og på oppdragelse og danning i pedagogiske institusjoner og i arbeidsliv og samfunn.  </w:t>
            </w:r>
          </w:p>
          <w:p w:rsidR="0056002C" w:rsidRDefault="0056002C" w:rsidP="00CE433C">
            <w:pPr>
              <w:pStyle w:val="ListParagraph"/>
              <w:rPr>
                <w:rFonts w:asciiTheme="minorHAnsi" w:hAnsiTheme="minorHAnsi"/>
                <w:iCs/>
                <w:sz w:val="20"/>
                <w:szCs w:val="20"/>
              </w:rPr>
            </w:pPr>
          </w:p>
          <w:p w:rsidR="0056002C" w:rsidRDefault="009A4E50" w:rsidP="00CE433C">
            <w:pPr>
              <w:rPr>
                <w:sz w:val="20"/>
                <w:szCs w:val="20"/>
              </w:rPr>
            </w:pPr>
            <w:r>
              <w:rPr>
                <w:sz w:val="20"/>
                <w:szCs w:val="20"/>
              </w:rPr>
              <w:t xml:space="preserve">Felles innslag i begge emner </w:t>
            </w:r>
            <w:r w:rsidR="002D6F71">
              <w:rPr>
                <w:sz w:val="20"/>
                <w:szCs w:val="20"/>
              </w:rPr>
              <w:t xml:space="preserve">er oversikter over nøkkelområder i forskning og fagutvikling. </w:t>
            </w:r>
            <w:r w:rsidR="0056002C">
              <w:rPr>
                <w:sz w:val="20"/>
                <w:szCs w:val="20"/>
              </w:rPr>
              <w:t xml:space="preserve">Deltakelse i undervisnings- og læringsaktiviteter er viktige innslag i studiet. </w:t>
            </w:r>
            <w:r w:rsidR="00C4764B">
              <w:rPr>
                <w:sz w:val="20"/>
                <w:szCs w:val="20"/>
              </w:rPr>
              <w:t>A</w:t>
            </w:r>
            <w:r w:rsidR="0056002C">
              <w:rPr>
                <w:sz w:val="20"/>
                <w:szCs w:val="20"/>
              </w:rPr>
              <w:t>rbeid i seminar og grupper gir studentene trening i å sette seg systematisk inn i pedagogiske temaer og områder, å sammenlikne på tvers av nivåer og prosesser, og å formulere seg reflektert og kritisk om faglige tema - både muntlig og skriftlig.</w:t>
            </w:r>
          </w:p>
          <w:p w:rsidR="0056002C" w:rsidRDefault="0056002C" w:rsidP="00CE433C">
            <w:pPr>
              <w:rPr>
                <w:sz w:val="20"/>
                <w:szCs w:val="20"/>
              </w:rPr>
            </w:pPr>
          </w:p>
          <w:p w:rsidR="0056002C" w:rsidRDefault="0056002C" w:rsidP="00CE433C"/>
        </w:tc>
      </w:tr>
      <w:tr w:rsidR="0056002C" w:rsidRPr="00C4764B" w:rsidTr="002236E3">
        <w:tc>
          <w:tcPr>
            <w:tcW w:w="46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6002C" w:rsidRPr="00C4764B" w:rsidRDefault="0056002C" w:rsidP="00CE433C">
            <w:pPr>
              <w:spacing w:before="120"/>
              <w:jc w:val="center"/>
              <w:rPr>
                <w:sz w:val="18"/>
                <w:szCs w:val="18"/>
              </w:rPr>
            </w:pPr>
            <w:r w:rsidRPr="00C4764B">
              <w:rPr>
                <w:b/>
                <w:sz w:val="18"/>
                <w:szCs w:val="18"/>
              </w:rPr>
              <w:t>PED 1001: «</w:t>
            </w:r>
            <w:r w:rsidRPr="00C4764B">
              <w:rPr>
                <w:rFonts w:asciiTheme="majorHAnsi" w:hAnsiTheme="majorHAnsi"/>
                <w:b/>
                <w:sz w:val="18"/>
                <w:szCs w:val="18"/>
              </w:rPr>
              <w:t>INDIVIDER OG INSTITUSJONER</w:t>
            </w:r>
            <w:r w:rsidRPr="00C4764B">
              <w:rPr>
                <w:b/>
                <w:sz w:val="18"/>
                <w:szCs w:val="18"/>
              </w:rPr>
              <w:t xml:space="preserve">» </w:t>
            </w:r>
            <w:r w:rsidRPr="00C4764B">
              <w:rPr>
                <w:sz w:val="18"/>
                <w:szCs w:val="18"/>
              </w:rPr>
              <w:t xml:space="preserve">(20 </w:t>
            </w:r>
            <w:proofErr w:type="spellStart"/>
            <w:r w:rsidRPr="00C4764B">
              <w:rPr>
                <w:sz w:val="18"/>
                <w:szCs w:val="18"/>
              </w:rPr>
              <w:t>stp</w:t>
            </w:r>
            <w:proofErr w:type="spellEnd"/>
            <w:r w:rsidRPr="00C4764B">
              <w:rPr>
                <w:sz w:val="18"/>
                <w:szCs w:val="18"/>
              </w:rPr>
              <w:t>)</w:t>
            </w:r>
          </w:p>
          <w:p w:rsidR="0056002C" w:rsidRDefault="0056002C" w:rsidP="00CE433C"/>
        </w:tc>
        <w:tc>
          <w:tcPr>
            <w:tcW w:w="464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56002C" w:rsidRPr="00C4764B" w:rsidRDefault="0056002C" w:rsidP="00CE433C">
            <w:pPr>
              <w:spacing w:before="120"/>
              <w:jc w:val="center"/>
              <w:rPr>
                <w:sz w:val="18"/>
                <w:szCs w:val="18"/>
                <w:lang w:val="nn-NO"/>
              </w:rPr>
            </w:pPr>
            <w:r w:rsidRPr="00C4764B">
              <w:rPr>
                <w:b/>
                <w:sz w:val="18"/>
                <w:szCs w:val="18"/>
                <w:lang w:val="nn-NO"/>
              </w:rPr>
              <w:t>PED 1002:</w:t>
            </w:r>
            <w:r w:rsidRPr="00C4764B">
              <w:rPr>
                <w:sz w:val="18"/>
                <w:szCs w:val="18"/>
                <w:lang w:val="nn-NO"/>
              </w:rPr>
              <w:t xml:space="preserve"> «</w:t>
            </w:r>
            <w:r w:rsidRPr="00C4764B">
              <w:rPr>
                <w:rFonts w:asciiTheme="majorHAnsi" w:hAnsiTheme="majorHAnsi"/>
                <w:b/>
                <w:sz w:val="18"/>
                <w:szCs w:val="18"/>
                <w:lang w:val="nn-NO"/>
              </w:rPr>
              <w:t>INSTITUSJON OG  SAMFUNN</w:t>
            </w:r>
            <w:r w:rsidRPr="00C4764B">
              <w:rPr>
                <w:sz w:val="18"/>
                <w:szCs w:val="18"/>
                <w:lang w:val="nn-NO"/>
              </w:rPr>
              <w:t xml:space="preserve">» (20 </w:t>
            </w:r>
            <w:proofErr w:type="spellStart"/>
            <w:r w:rsidRPr="00C4764B">
              <w:rPr>
                <w:sz w:val="18"/>
                <w:szCs w:val="18"/>
                <w:lang w:val="nn-NO"/>
              </w:rPr>
              <w:t>stp</w:t>
            </w:r>
            <w:proofErr w:type="spellEnd"/>
            <w:r w:rsidRPr="00C4764B">
              <w:rPr>
                <w:sz w:val="18"/>
                <w:szCs w:val="18"/>
                <w:lang w:val="nn-NO"/>
              </w:rPr>
              <w:t>)</w:t>
            </w:r>
          </w:p>
        </w:tc>
      </w:tr>
      <w:tr w:rsidR="0056002C" w:rsidTr="002236E3">
        <w:tc>
          <w:tcPr>
            <w:tcW w:w="4644" w:type="dxa"/>
            <w:tcBorders>
              <w:top w:val="single" w:sz="4" w:space="0" w:color="auto"/>
              <w:left w:val="single" w:sz="4" w:space="0" w:color="auto"/>
              <w:bottom w:val="single" w:sz="4" w:space="0" w:color="auto"/>
              <w:right w:val="single" w:sz="4" w:space="0" w:color="auto"/>
            </w:tcBorders>
          </w:tcPr>
          <w:p w:rsidR="0056002C" w:rsidRPr="00C4764B" w:rsidRDefault="0056002C" w:rsidP="00CE433C">
            <w:pPr>
              <w:spacing w:before="120"/>
              <w:rPr>
                <w:sz w:val="20"/>
                <w:szCs w:val="20"/>
              </w:rPr>
            </w:pPr>
            <w:r w:rsidRPr="00C4764B">
              <w:rPr>
                <w:sz w:val="20"/>
                <w:szCs w:val="20"/>
              </w:rPr>
              <w:t xml:space="preserve">Hovedvekten i emnet ligger på individrettede sider ved pedagogiske oppgaver. Emnet tar også opp samspill og samhandling mellom individer og mellom individene og pedagogiske institusjoner som skole og barnehage. </w:t>
            </w:r>
          </w:p>
          <w:p w:rsidR="0056002C" w:rsidRPr="00C4764B" w:rsidRDefault="0056002C" w:rsidP="00CE433C">
            <w:pPr>
              <w:spacing w:before="120"/>
              <w:rPr>
                <w:iCs/>
                <w:sz w:val="20"/>
                <w:szCs w:val="20"/>
              </w:rPr>
            </w:pPr>
            <w:r w:rsidRPr="00C4764B">
              <w:rPr>
                <w:sz w:val="20"/>
                <w:szCs w:val="20"/>
              </w:rPr>
              <w:t>L</w:t>
            </w:r>
            <w:r w:rsidRPr="00C4764B">
              <w:rPr>
                <w:iCs/>
                <w:sz w:val="20"/>
                <w:szCs w:val="20"/>
              </w:rPr>
              <w:t xml:space="preserve">æring og utvikling er sentrale tema. Emnet tar også opp utdanningstema, med fokus på undervisning og opplæring. </w:t>
            </w:r>
          </w:p>
          <w:p w:rsidR="0056002C" w:rsidRPr="00C4764B" w:rsidRDefault="0056002C" w:rsidP="00CE433C">
            <w:pPr>
              <w:spacing w:before="120"/>
              <w:rPr>
                <w:b/>
                <w:sz w:val="20"/>
                <w:szCs w:val="20"/>
              </w:rPr>
            </w:pPr>
            <w:r w:rsidRPr="00C4764B">
              <w:rPr>
                <w:iCs/>
                <w:sz w:val="20"/>
                <w:szCs w:val="20"/>
              </w:rPr>
              <w:t>Innslag i emnet er også innledende oversikt over nøkkelområder i forskning og fagutvikling, med fokus mot læring og utvikling, og undervisning.</w:t>
            </w:r>
          </w:p>
          <w:p w:rsidR="0056002C" w:rsidRPr="00975C49" w:rsidRDefault="0056002C" w:rsidP="00CE433C">
            <w:pPr>
              <w:spacing w:before="120"/>
              <w:rPr>
                <w:b/>
                <w:sz w:val="20"/>
                <w:szCs w:val="20"/>
                <w:lang w:val="nn-NO"/>
              </w:rPr>
            </w:pPr>
          </w:p>
        </w:tc>
        <w:tc>
          <w:tcPr>
            <w:tcW w:w="4644" w:type="dxa"/>
            <w:tcBorders>
              <w:top w:val="single" w:sz="4" w:space="0" w:color="auto"/>
              <w:left w:val="single" w:sz="4" w:space="0" w:color="auto"/>
              <w:bottom w:val="single" w:sz="4" w:space="0" w:color="auto"/>
              <w:right w:val="single" w:sz="4" w:space="0" w:color="auto"/>
            </w:tcBorders>
            <w:hideMark/>
          </w:tcPr>
          <w:p w:rsidR="0056002C" w:rsidRPr="00975C49" w:rsidRDefault="0056002C" w:rsidP="00CE433C">
            <w:pPr>
              <w:spacing w:before="120"/>
              <w:rPr>
                <w:sz w:val="20"/>
                <w:szCs w:val="20"/>
              </w:rPr>
            </w:pPr>
            <w:r w:rsidRPr="00975C49">
              <w:rPr>
                <w:sz w:val="20"/>
                <w:szCs w:val="20"/>
              </w:rPr>
              <w:t xml:space="preserve">Hovedvekten i emnet ligger på samfunnsrettede sider ved pedagogiske oppgaver. Emnet tar også opp samspill mellom institusjoner, samfunns- og arbeidsliv, og stat og politikk. </w:t>
            </w:r>
          </w:p>
          <w:p w:rsidR="0056002C" w:rsidRPr="00975C49" w:rsidRDefault="0056002C" w:rsidP="00CE433C">
            <w:pPr>
              <w:spacing w:before="120"/>
              <w:rPr>
                <w:iCs/>
                <w:sz w:val="20"/>
                <w:szCs w:val="20"/>
              </w:rPr>
            </w:pPr>
            <w:r w:rsidRPr="00975C49">
              <w:rPr>
                <w:iCs/>
                <w:sz w:val="20"/>
                <w:szCs w:val="20"/>
              </w:rPr>
              <w:t xml:space="preserve">Sosialisering, oppdragelse og danning er sentrale tema. Emnet tar også opp utdanningstema med fokus på mangfold, læreplaner og evaluering, samt på hvordan skoler og andre pedagogiske institusjoner endrer seg og møter aktuelle utfordringer.  </w:t>
            </w:r>
          </w:p>
          <w:p w:rsidR="0056002C" w:rsidRDefault="0056002C" w:rsidP="00CE433C">
            <w:pPr>
              <w:spacing w:before="120"/>
              <w:rPr>
                <w:iCs/>
                <w:sz w:val="20"/>
                <w:szCs w:val="20"/>
              </w:rPr>
            </w:pPr>
            <w:r w:rsidRPr="00975C49">
              <w:rPr>
                <w:iCs/>
                <w:sz w:val="20"/>
                <w:szCs w:val="20"/>
              </w:rPr>
              <w:t xml:space="preserve">Innslag i emnet er oversikt over nøkkelområder i forskning og fagutvikling med fokus mot samfunns- og utdanningsrettede områder, samt mot pedagogiske forskningsområder sett under ett. </w:t>
            </w:r>
          </w:p>
          <w:p w:rsidR="00C4764B" w:rsidRPr="00975C49" w:rsidRDefault="00C4764B" w:rsidP="00CE433C">
            <w:pPr>
              <w:spacing w:before="120"/>
              <w:rPr>
                <w:b/>
                <w:sz w:val="20"/>
                <w:szCs w:val="20"/>
              </w:rPr>
            </w:pPr>
          </w:p>
        </w:tc>
      </w:tr>
      <w:tr w:rsidR="0056002C" w:rsidTr="002236E3">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6002C" w:rsidRDefault="0056002C" w:rsidP="00CE433C">
            <w:pPr>
              <w:rPr>
                <w:rFonts w:ascii="Arial" w:hAnsi="Arial" w:cs="Arial"/>
                <w:b/>
                <w:bCs/>
                <w:color w:val="2B2B2B"/>
                <w:sz w:val="26"/>
                <w:szCs w:val="26"/>
              </w:rPr>
            </w:pPr>
          </w:p>
          <w:p w:rsidR="0056002C" w:rsidRDefault="0056002C" w:rsidP="00CE433C">
            <w:pPr>
              <w:rPr>
                <w:b/>
              </w:rPr>
            </w:pPr>
            <w:r w:rsidRPr="00C4764B">
              <w:rPr>
                <w:rFonts w:ascii="Arial" w:hAnsi="Arial" w:cs="Arial"/>
                <w:b/>
                <w:bCs/>
                <w:color w:val="2B2B2B"/>
                <w:szCs w:val="26"/>
              </w:rPr>
              <w:t>Hva lærer du?</w:t>
            </w:r>
          </w:p>
        </w:tc>
        <w:tc>
          <w:tcPr>
            <w:tcW w:w="4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56002C" w:rsidRDefault="0056002C" w:rsidP="00CE433C">
            <w:pPr>
              <w:rPr>
                <w:rFonts w:ascii="Arial" w:hAnsi="Arial" w:cs="Arial"/>
                <w:b/>
                <w:bCs/>
                <w:color w:val="2B2B2B"/>
                <w:sz w:val="26"/>
                <w:szCs w:val="26"/>
              </w:rPr>
            </w:pPr>
          </w:p>
          <w:p w:rsidR="0056002C" w:rsidRDefault="0056002C" w:rsidP="00CE433C">
            <w:pPr>
              <w:rPr>
                <w:b/>
              </w:rPr>
            </w:pPr>
            <w:r w:rsidRPr="00C4764B">
              <w:rPr>
                <w:rFonts w:ascii="Arial" w:hAnsi="Arial" w:cs="Arial"/>
                <w:b/>
                <w:bCs/>
                <w:color w:val="2B2B2B"/>
                <w:szCs w:val="26"/>
              </w:rPr>
              <w:t>Hva lærer du?</w:t>
            </w:r>
          </w:p>
        </w:tc>
      </w:tr>
      <w:tr w:rsidR="0056002C" w:rsidTr="002236E3">
        <w:tc>
          <w:tcPr>
            <w:tcW w:w="4644" w:type="dxa"/>
            <w:tcBorders>
              <w:top w:val="single" w:sz="4" w:space="0" w:color="auto"/>
              <w:left w:val="single" w:sz="4" w:space="0" w:color="auto"/>
              <w:bottom w:val="single" w:sz="4" w:space="0" w:color="auto"/>
              <w:right w:val="single" w:sz="4" w:space="0" w:color="auto"/>
            </w:tcBorders>
          </w:tcPr>
          <w:p w:rsidR="0056002C" w:rsidRDefault="0056002C" w:rsidP="00CE433C">
            <w:pPr>
              <w:rPr>
                <w:rFonts w:ascii="Arial" w:hAnsi="Arial" w:cs="Arial"/>
                <w:bCs/>
                <w:color w:val="2B2B2B"/>
                <w:sz w:val="18"/>
                <w:szCs w:val="18"/>
              </w:rPr>
            </w:pPr>
          </w:p>
          <w:p w:rsidR="0056002C" w:rsidRDefault="0056002C" w:rsidP="00CE433C">
            <w:pPr>
              <w:rPr>
                <w:rFonts w:ascii="Arial" w:hAnsi="Arial" w:cs="Arial"/>
                <w:bCs/>
                <w:color w:val="2B2B2B"/>
                <w:sz w:val="18"/>
                <w:szCs w:val="18"/>
              </w:rPr>
            </w:pPr>
            <w:r>
              <w:rPr>
                <w:rFonts w:ascii="Arial" w:hAnsi="Arial" w:cs="Arial"/>
                <w:bCs/>
                <w:color w:val="2B2B2B"/>
                <w:sz w:val="18"/>
                <w:szCs w:val="18"/>
              </w:rPr>
              <w:t xml:space="preserve">Omtalene av forventet læringsutbytte skiller analytisk mellom tre deler. I vurderinger ser en de tre delene samlet.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Kunnskaper og forståelse - Du skal kunne:</w:t>
            </w:r>
          </w:p>
          <w:p w:rsidR="0056002C" w:rsidRDefault="0056002C" w:rsidP="00CE433C">
            <w:pPr>
              <w:numPr>
                <w:ilvl w:val="0"/>
                <w:numId w:val="2"/>
              </w:numPr>
              <w:rPr>
                <w:rFonts w:ascii="Arial" w:hAnsi="Arial" w:cs="Arial"/>
                <w:bCs/>
                <w:color w:val="2B2B2B"/>
                <w:sz w:val="16"/>
                <w:szCs w:val="16"/>
              </w:rPr>
            </w:pPr>
            <w:r>
              <w:rPr>
                <w:rFonts w:ascii="Arial" w:hAnsi="Arial" w:cs="Arial"/>
                <w:bCs/>
                <w:color w:val="2B2B2B"/>
                <w:sz w:val="16"/>
                <w:szCs w:val="16"/>
              </w:rPr>
              <w:t xml:space="preserve">redegjøre for de pedagogiske prosessene: </w:t>
            </w:r>
            <w:r>
              <w:rPr>
                <w:rFonts w:ascii="Arial" w:hAnsi="Arial" w:cs="Arial"/>
                <w:bCs/>
                <w:iCs/>
                <w:color w:val="2B2B2B"/>
                <w:sz w:val="16"/>
                <w:szCs w:val="16"/>
              </w:rPr>
              <w:t>læring, utvikling, undervisning og opplæring</w:t>
            </w:r>
          </w:p>
          <w:p w:rsidR="0056002C" w:rsidRDefault="0056002C" w:rsidP="00CE433C">
            <w:pPr>
              <w:numPr>
                <w:ilvl w:val="0"/>
                <w:numId w:val="2"/>
              </w:numPr>
              <w:rPr>
                <w:rFonts w:ascii="Arial" w:hAnsi="Arial" w:cs="Arial"/>
                <w:bCs/>
                <w:color w:val="2B2B2B"/>
                <w:sz w:val="16"/>
                <w:szCs w:val="16"/>
              </w:rPr>
            </w:pPr>
            <w:r>
              <w:rPr>
                <w:rFonts w:ascii="Arial" w:hAnsi="Arial" w:cs="Arial"/>
                <w:bCs/>
                <w:color w:val="2B2B2B"/>
                <w:sz w:val="16"/>
                <w:szCs w:val="16"/>
              </w:rPr>
              <w:t xml:space="preserve">analysere og vurdere pedagogiske prosesser på </w:t>
            </w:r>
            <w:r>
              <w:rPr>
                <w:rFonts w:ascii="Arial" w:hAnsi="Arial" w:cs="Arial"/>
                <w:bCs/>
                <w:iCs/>
                <w:color w:val="2B2B2B"/>
                <w:sz w:val="16"/>
                <w:szCs w:val="16"/>
              </w:rPr>
              <w:t>individ- og institusjonsnivå</w:t>
            </w:r>
          </w:p>
          <w:p w:rsidR="0056002C" w:rsidRDefault="0056002C" w:rsidP="00CE433C">
            <w:pPr>
              <w:numPr>
                <w:ilvl w:val="0"/>
                <w:numId w:val="2"/>
              </w:numPr>
              <w:rPr>
                <w:rFonts w:ascii="Arial" w:hAnsi="Arial" w:cs="Arial"/>
                <w:bCs/>
                <w:color w:val="2B2B2B"/>
                <w:sz w:val="16"/>
                <w:szCs w:val="16"/>
              </w:rPr>
            </w:pPr>
            <w:r>
              <w:rPr>
                <w:rFonts w:ascii="Arial" w:hAnsi="Arial" w:cs="Arial"/>
                <w:bCs/>
                <w:color w:val="2B2B2B"/>
                <w:sz w:val="16"/>
                <w:szCs w:val="16"/>
              </w:rPr>
              <w:t>forklare hvordan mennesker lærer og utvikler seg i samspill med andre og i institusjoner som barnehage og skole</w:t>
            </w:r>
          </w:p>
          <w:p w:rsidR="0056002C" w:rsidRDefault="0056002C" w:rsidP="00CE433C">
            <w:pPr>
              <w:numPr>
                <w:ilvl w:val="0"/>
                <w:numId w:val="2"/>
              </w:numPr>
              <w:rPr>
                <w:rFonts w:ascii="Arial" w:hAnsi="Arial" w:cs="Arial"/>
                <w:bCs/>
                <w:color w:val="2B2B2B"/>
                <w:sz w:val="16"/>
                <w:szCs w:val="16"/>
              </w:rPr>
            </w:pPr>
            <w:r>
              <w:rPr>
                <w:rFonts w:ascii="Arial" w:hAnsi="Arial" w:cs="Arial"/>
                <w:bCs/>
                <w:color w:val="2B2B2B"/>
                <w:sz w:val="16"/>
                <w:szCs w:val="16"/>
              </w:rPr>
              <w:t xml:space="preserve">analysere hvordan barn og unge utnytter sentrale kulturelle og teknologiske redskaper i ulike pedagogiske prosesser </w:t>
            </w:r>
          </w:p>
          <w:p w:rsidR="0056002C" w:rsidRDefault="0056002C" w:rsidP="00CE433C">
            <w:pPr>
              <w:numPr>
                <w:ilvl w:val="0"/>
                <w:numId w:val="2"/>
              </w:numPr>
              <w:rPr>
                <w:rFonts w:ascii="Arial" w:hAnsi="Arial" w:cs="Arial"/>
                <w:bCs/>
                <w:color w:val="2B2B2B"/>
                <w:sz w:val="16"/>
                <w:szCs w:val="16"/>
              </w:rPr>
            </w:pPr>
            <w:r>
              <w:rPr>
                <w:rFonts w:ascii="Arial" w:hAnsi="Arial" w:cs="Arial"/>
                <w:bCs/>
                <w:color w:val="2B2B2B"/>
                <w:sz w:val="16"/>
                <w:szCs w:val="16"/>
              </w:rPr>
              <w:t xml:space="preserve">gi oversikt over pedagogiske forskningsområder der individers læring og utvikling står i sentrum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Ferdigheter og dyktighet – Du skal vise at du kan:</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 xml:space="preserve">finne fram til viktig forskningsbasert kunnskap om individers læring og utvikling </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 xml:space="preserve">lese fagtekster om læring, utvikling og undervisning   </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kommunisere muntlig og skriftlig i faglige sammenhenger</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 xml:space="preserve">samarbeide om faglige oppgaver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Generell kompetanse og danning - Du skal   </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ha kjennskap til individrettede områder av pedagogikkfaget</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 xml:space="preserve">kunne lese og bruke aktuell forskningslitteratur nyansert og saklig </w:t>
            </w:r>
          </w:p>
          <w:p w:rsidR="0056002C" w:rsidRPr="00885A2D" w:rsidRDefault="0056002C" w:rsidP="00CE433C">
            <w:pPr>
              <w:numPr>
                <w:ilvl w:val="0"/>
                <w:numId w:val="4"/>
              </w:numPr>
              <w:rPr>
                <w:rFonts w:ascii="Arial" w:hAnsi="Arial" w:cs="Arial"/>
                <w:bCs/>
                <w:color w:val="2B2B2B"/>
                <w:sz w:val="16"/>
                <w:szCs w:val="16"/>
              </w:rPr>
            </w:pPr>
            <w:r w:rsidRPr="00885A2D">
              <w:rPr>
                <w:rFonts w:ascii="Arial" w:hAnsi="Arial" w:cs="Arial"/>
                <w:bCs/>
                <w:color w:val="2B2B2B"/>
                <w:sz w:val="16"/>
                <w:szCs w:val="16"/>
              </w:rPr>
              <w:t>ha interesse for bruk av pedagogiske kunnskaper om individer og institusjoner i arbeid med aktuelle tema</w:t>
            </w:r>
          </w:p>
        </w:tc>
        <w:tc>
          <w:tcPr>
            <w:tcW w:w="4644" w:type="dxa"/>
            <w:tcBorders>
              <w:top w:val="single" w:sz="4" w:space="0" w:color="auto"/>
              <w:left w:val="single" w:sz="4" w:space="0" w:color="auto"/>
              <w:bottom w:val="single" w:sz="4" w:space="0" w:color="auto"/>
              <w:right w:val="single" w:sz="4" w:space="0" w:color="auto"/>
            </w:tcBorders>
          </w:tcPr>
          <w:p w:rsidR="0056002C" w:rsidRDefault="0056002C" w:rsidP="00CE433C">
            <w:pPr>
              <w:rPr>
                <w:rFonts w:ascii="Arial" w:hAnsi="Arial" w:cs="Arial"/>
                <w:bCs/>
                <w:color w:val="2B2B2B"/>
                <w:sz w:val="18"/>
                <w:szCs w:val="18"/>
              </w:rPr>
            </w:pPr>
          </w:p>
          <w:p w:rsidR="0056002C" w:rsidRDefault="0056002C" w:rsidP="00CE433C">
            <w:pPr>
              <w:rPr>
                <w:rFonts w:ascii="Arial" w:hAnsi="Arial" w:cs="Arial"/>
                <w:bCs/>
                <w:color w:val="2B2B2B"/>
                <w:sz w:val="18"/>
                <w:szCs w:val="18"/>
              </w:rPr>
            </w:pPr>
            <w:r>
              <w:rPr>
                <w:rFonts w:ascii="Arial" w:hAnsi="Arial" w:cs="Arial"/>
                <w:bCs/>
                <w:color w:val="2B2B2B"/>
                <w:sz w:val="18"/>
                <w:szCs w:val="18"/>
              </w:rPr>
              <w:t xml:space="preserve">Omtalene av forventet læringsutbytte skiller analytisk mellom tre deler. I vurderinger ser en de tre delene samlet.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Kunnskaper og forståelse - Du skal kunne:</w:t>
            </w:r>
          </w:p>
          <w:p w:rsidR="0056002C" w:rsidRDefault="0056002C" w:rsidP="00CE433C">
            <w:pPr>
              <w:numPr>
                <w:ilvl w:val="0"/>
                <w:numId w:val="2"/>
              </w:numPr>
              <w:rPr>
                <w:rFonts w:ascii="Arial" w:hAnsi="Arial" w:cs="Arial"/>
                <w:bCs/>
                <w:sz w:val="16"/>
                <w:szCs w:val="16"/>
              </w:rPr>
            </w:pPr>
            <w:r>
              <w:rPr>
                <w:rFonts w:ascii="Arial" w:hAnsi="Arial" w:cs="Arial"/>
                <w:bCs/>
                <w:sz w:val="16"/>
                <w:szCs w:val="16"/>
              </w:rPr>
              <w:t xml:space="preserve">redegjøre for de pedagogiske prosessene: </w:t>
            </w:r>
            <w:r>
              <w:rPr>
                <w:rFonts w:ascii="Arial" w:hAnsi="Arial" w:cs="Arial"/>
                <w:bCs/>
                <w:iCs/>
                <w:sz w:val="16"/>
                <w:szCs w:val="16"/>
              </w:rPr>
              <w:t xml:space="preserve">sosialisering, oppdragelse, danning og utdanning – herunder læreplaner og evaluering </w:t>
            </w:r>
          </w:p>
          <w:p w:rsidR="0056002C" w:rsidRDefault="0056002C" w:rsidP="00CE433C">
            <w:pPr>
              <w:numPr>
                <w:ilvl w:val="0"/>
                <w:numId w:val="2"/>
              </w:numPr>
              <w:rPr>
                <w:rFonts w:ascii="Arial" w:hAnsi="Arial" w:cs="Arial"/>
                <w:bCs/>
                <w:sz w:val="16"/>
                <w:szCs w:val="16"/>
              </w:rPr>
            </w:pPr>
            <w:r>
              <w:rPr>
                <w:rFonts w:ascii="Arial" w:hAnsi="Arial" w:cs="Arial"/>
                <w:bCs/>
                <w:sz w:val="16"/>
                <w:szCs w:val="16"/>
              </w:rPr>
              <w:t>redegjøre for kultur- og samfunnsperspektiv på pedagogiske prosesser</w:t>
            </w:r>
          </w:p>
          <w:p w:rsidR="0056002C" w:rsidRDefault="0056002C" w:rsidP="00CE433C">
            <w:pPr>
              <w:numPr>
                <w:ilvl w:val="0"/>
                <w:numId w:val="2"/>
              </w:numPr>
              <w:rPr>
                <w:rFonts w:ascii="Arial" w:hAnsi="Arial" w:cs="Arial"/>
                <w:bCs/>
                <w:sz w:val="16"/>
                <w:szCs w:val="16"/>
              </w:rPr>
            </w:pPr>
            <w:r>
              <w:rPr>
                <w:rFonts w:ascii="Arial" w:hAnsi="Arial" w:cs="Arial"/>
                <w:bCs/>
                <w:sz w:val="16"/>
                <w:szCs w:val="16"/>
              </w:rPr>
              <w:t>redegjøre for utviklingslinjer og aktuelle utfordringer for sentrale pedagogiske institusjoner</w:t>
            </w:r>
          </w:p>
          <w:p w:rsidR="0056002C" w:rsidRDefault="0056002C" w:rsidP="00CE433C">
            <w:pPr>
              <w:numPr>
                <w:ilvl w:val="0"/>
                <w:numId w:val="2"/>
              </w:numPr>
              <w:rPr>
                <w:rFonts w:ascii="Arial" w:hAnsi="Arial" w:cs="Arial"/>
                <w:bCs/>
                <w:sz w:val="16"/>
                <w:szCs w:val="16"/>
              </w:rPr>
            </w:pPr>
            <w:r>
              <w:rPr>
                <w:rFonts w:ascii="Arial" w:hAnsi="Arial" w:cs="Arial"/>
                <w:bCs/>
                <w:sz w:val="16"/>
                <w:szCs w:val="16"/>
              </w:rPr>
              <w:t>analysere ulike oppvekstarenaer og hvordan barn og unge nytter symbolske og materielle redskaper pedagogisk</w:t>
            </w:r>
          </w:p>
          <w:p w:rsidR="0056002C" w:rsidRDefault="0056002C" w:rsidP="00CE433C">
            <w:pPr>
              <w:numPr>
                <w:ilvl w:val="0"/>
                <w:numId w:val="2"/>
              </w:numPr>
              <w:rPr>
                <w:rFonts w:ascii="Arial" w:hAnsi="Arial" w:cs="Arial"/>
                <w:bCs/>
                <w:sz w:val="16"/>
                <w:szCs w:val="16"/>
              </w:rPr>
            </w:pPr>
            <w:r>
              <w:rPr>
                <w:rFonts w:ascii="Arial" w:hAnsi="Arial" w:cs="Arial"/>
                <w:bCs/>
                <w:sz w:val="16"/>
                <w:szCs w:val="16"/>
              </w:rPr>
              <w:t xml:space="preserve">gi oversikt over pedagogiske forskningsområder der sosialisering, oppdragelse, danning, og utdanning står i sentrum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Ferdigheter og dyktighet – Du skal vise at du kan:</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finne fram til pedagogisk forskning om aktuelle tema</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 xml:space="preserve">bruke fagtekster fra ulike pedagogiske delområder </w:t>
            </w:r>
          </w:p>
          <w:p w:rsidR="0056002C" w:rsidRDefault="0056002C" w:rsidP="00CE433C">
            <w:pPr>
              <w:numPr>
                <w:ilvl w:val="0"/>
                <w:numId w:val="3"/>
              </w:numPr>
              <w:rPr>
                <w:rFonts w:ascii="Arial" w:hAnsi="Arial" w:cs="Arial"/>
                <w:bCs/>
                <w:color w:val="2B2B2B"/>
                <w:sz w:val="16"/>
                <w:szCs w:val="16"/>
              </w:rPr>
            </w:pPr>
            <w:r>
              <w:rPr>
                <w:rFonts w:ascii="Arial" w:hAnsi="Arial" w:cs="Arial"/>
                <w:bCs/>
                <w:iCs/>
                <w:color w:val="2B2B2B"/>
                <w:sz w:val="16"/>
                <w:szCs w:val="16"/>
              </w:rPr>
              <w:t>kommunisere faglig, både muntlig og skriftlig</w:t>
            </w:r>
          </w:p>
          <w:p w:rsidR="0056002C" w:rsidRDefault="0056002C" w:rsidP="00CE433C">
            <w:pPr>
              <w:numPr>
                <w:ilvl w:val="0"/>
                <w:numId w:val="3"/>
              </w:numPr>
              <w:rPr>
                <w:rFonts w:ascii="Arial" w:hAnsi="Arial" w:cs="Arial"/>
                <w:bCs/>
                <w:color w:val="2B2B2B"/>
                <w:sz w:val="19"/>
                <w:szCs w:val="19"/>
              </w:rPr>
            </w:pPr>
            <w:r>
              <w:rPr>
                <w:rFonts w:ascii="Arial" w:hAnsi="Arial" w:cs="Arial"/>
                <w:bCs/>
                <w:iCs/>
                <w:color w:val="2B2B2B"/>
                <w:sz w:val="16"/>
                <w:szCs w:val="16"/>
              </w:rPr>
              <w:t>arbeide og samarbeide om faglige oppgaver</w:t>
            </w:r>
            <w:r>
              <w:rPr>
                <w:rFonts w:ascii="Arial" w:hAnsi="Arial" w:cs="Arial"/>
                <w:bCs/>
                <w:iCs/>
                <w:color w:val="2B2B2B"/>
                <w:sz w:val="19"/>
                <w:szCs w:val="19"/>
              </w:rPr>
              <w:t xml:space="preserve"> </w:t>
            </w:r>
          </w:p>
          <w:p w:rsidR="0056002C" w:rsidRDefault="0056002C" w:rsidP="00CE433C">
            <w:pPr>
              <w:rPr>
                <w:rFonts w:ascii="Arial" w:hAnsi="Arial" w:cs="Arial"/>
                <w:bCs/>
                <w:color w:val="2B2B2B"/>
                <w:sz w:val="19"/>
                <w:szCs w:val="19"/>
              </w:rPr>
            </w:pPr>
          </w:p>
          <w:p w:rsidR="0056002C" w:rsidRDefault="0056002C" w:rsidP="00CE433C">
            <w:pPr>
              <w:rPr>
                <w:rFonts w:ascii="Arial" w:hAnsi="Arial" w:cs="Arial"/>
                <w:bCs/>
                <w:color w:val="2B2B2B"/>
                <w:sz w:val="19"/>
                <w:szCs w:val="19"/>
              </w:rPr>
            </w:pPr>
            <w:r>
              <w:rPr>
                <w:rFonts w:ascii="Arial" w:hAnsi="Arial" w:cs="Arial"/>
                <w:bCs/>
                <w:color w:val="2B2B2B"/>
                <w:sz w:val="19"/>
                <w:szCs w:val="19"/>
              </w:rPr>
              <w:t>Generell kompetanse og danning - Du skal   </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vise kjennskap til sentrale forskningsretninger innen individrettede, kulturrettede, og samfunnsrettede delområder</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 xml:space="preserve">kunne lese og bruke kunnskaper fra aktuell pedagogisk forskning nyansert og saklig </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vise kjennskap til pedagogiske områder der en kombinerer saklige og normative vurderinger</w:t>
            </w:r>
          </w:p>
          <w:p w:rsidR="0056002C" w:rsidRDefault="0056002C" w:rsidP="00CE433C">
            <w:pPr>
              <w:numPr>
                <w:ilvl w:val="0"/>
                <w:numId w:val="4"/>
              </w:numPr>
              <w:rPr>
                <w:rFonts w:ascii="Arial" w:hAnsi="Arial" w:cs="Arial"/>
                <w:bCs/>
                <w:color w:val="2B2B2B"/>
                <w:sz w:val="16"/>
                <w:szCs w:val="16"/>
              </w:rPr>
            </w:pPr>
            <w:r>
              <w:rPr>
                <w:rFonts w:ascii="Arial" w:hAnsi="Arial" w:cs="Arial"/>
                <w:bCs/>
                <w:color w:val="2B2B2B"/>
                <w:sz w:val="16"/>
                <w:szCs w:val="16"/>
              </w:rPr>
              <w:t>vise interesse for kombinering av kunnskaper fra ulike pedagogiske delområder i arbeid med aktuelle tema</w:t>
            </w:r>
          </w:p>
          <w:p w:rsidR="0056002C" w:rsidRDefault="0056002C" w:rsidP="00CE433C">
            <w:pPr>
              <w:rPr>
                <w:rFonts w:ascii="Arial" w:hAnsi="Arial" w:cs="Arial"/>
                <w:b/>
                <w:bCs/>
                <w:color w:val="2B2B2B"/>
                <w:sz w:val="19"/>
                <w:szCs w:val="19"/>
              </w:rPr>
            </w:pPr>
          </w:p>
          <w:p w:rsidR="0056002C" w:rsidRDefault="0056002C" w:rsidP="00CE433C"/>
        </w:tc>
      </w:tr>
    </w:tbl>
    <w:p w:rsidR="0056002C" w:rsidRDefault="0056002C" w:rsidP="0056002C"/>
    <w:p w:rsidR="0056002C" w:rsidRDefault="0056002C" w:rsidP="0056002C"/>
    <w:p w:rsidR="0056002C" w:rsidRDefault="0056002C" w:rsidP="0056002C">
      <w:bookmarkStart w:id="0" w:name="_GoBack"/>
      <w:bookmarkEnd w:id="0"/>
    </w:p>
    <w:p w:rsidR="00BD3BB6" w:rsidRDefault="00885A2D"/>
    <w:sectPr w:rsidR="00BD3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06A33"/>
    <w:multiLevelType w:val="hybridMultilevel"/>
    <w:tmpl w:val="CA5E060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nsid w:val="26E85305"/>
    <w:multiLevelType w:val="hybridMultilevel"/>
    <w:tmpl w:val="155A8F34"/>
    <w:lvl w:ilvl="0" w:tplc="EE8C05DE">
      <w:start w:val="1"/>
      <w:numFmt w:val="bullet"/>
      <w:lvlText w:val="•"/>
      <w:lvlJc w:val="left"/>
      <w:pPr>
        <w:tabs>
          <w:tab w:val="num" w:pos="720"/>
        </w:tabs>
        <w:ind w:left="720" w:hanging="360"/>
      </w:pPr>
      <w:rPr>
        <w:rFonts w:ascii="Arial" w:hAnsi="Arial" w:cs="Times New Roman" w:hint="default"/>
      </w:rPr>
    </w:lvl>
    <w:lvl w:ilvl="1" w:tplc="6A4C74AA">
      <w:start w:val="1"/>
      <w:numFmt w:val="bullet"/>
      <w:lvlText w:val="•"/>
      <w:lvlJc w:val="left"/>
      <w:pPr>
        <w:tabs>
          <w:tab w:val="num" w:pos="1440"/>
        </w:tabs>
        <w:ind w:left="1440" w:hanging="360"/>
      </w:pPr>
      <w:rPr>
        <w:rFonts w:ascii="Arial" w:hAnsi="Arial" w:cs="Times New Roman" w:hint="default"/>
      </w:rPr>
    </w:lvl>
    <w:lvl w:ilvl="2" w:tplc="0B1A4C96">
      <w:start w:val="1"/>
      <w:numFmt w:val="bullet"/>
      <w:lvlText w:val="•"/>
      <w:lvlJc w:val="left"/>
      <w:pPr>
        <w:tabs>
          <w:tab w:val="num" w:pos="2160"/>
        </w:tabs>
        <w:ind w:left="2160" w:hanging="360"/>
      </w:pPr>
      <w:rPr>
        <w:rFonts w:ascii="Arial" w:hAnsi="Arial" w:cs="Times New Roman" w:hint="default"/>
      </w:rPr>
    </w:lvl>
    <w:lvl w:ilvl="3" w:tplc="A0ECFDEC">
      <w:start w:val="1"/>
      <w:numFmt w:val="bullet"/>
      <w:lvlText w:val="•"/>
      <w:lvlJc w:val="left"/>
      <w:pPr>
        <w:tabs>
          <w:tab w:val="num" w:pos="2880"/>
        </w:tabs>
        <w:ind w:left="2880" w:hanging="360"/>
      </w:pPr>
      <w:rPr>
        <w:rFonts w:ascii="Arial" w:hAnsi="Arial" w:cs="Times New Roman" w:hint="default"/>
      </w:rPr>
    </w:lvl>
    <w:lvl w:ilvl="4" w:tplc="EA5C7750">
      <w:start w:val="1"/>
      <w:numFmt w:val="bullet"/>
      <w:lvlText w:val="•"/>
      <w:lvlJc w:val="left"/>
      <w:pPr>
        <w:tabs>
          <w:tab w:val="num" w:pos="3600"/>
        </w:tabs>
        <w:ind w:left="3600" w:hanging="360"/>
      </w:pPr>
      <w:rPr>
        <w:rFonts w:ascii="Arial" w:hAnsi="Arial" w:cs="Times New Roman" w:hint="default"/>
      </w:rPr>
    </w:lvl>
    <w:lvl w:ilvl="5" w:tplc="B01EF566">
      <w:start w:val="1"/>
      <w:numFmt w:val="bullet"/>
      <w:lvlText w:val="•"/>
      <w:lvlJc w:val="left"/>
      <w:pPr>
        <w:tabs>
          <w:tab w:val="num" w:pos="4320"/>
        </w:tabs>
        <w:ind w:left="4320" w:hanging="360"/>
      </w:pPr>
      <w:rPr>
        <w:rFonts w:ascii="Arial" w:hAnsi="Arial" w:cs="Times New Roman" w:hint="default"/>
      </w:rPr>
    </w:lvl>
    <w:lvl w:ilvl="6" w:tplc="DC58ADD6">
      <w:start w:val="1"/>
      <w:numFmt w:val="bullet"/>
      <w:lvlText w:val="•"/>
      <w:lvlJc w:val="left"/>
      <w:pPr>
        <w:tabs>
          <w:tab w:val="num" w:pos="5040"/>
        </w:tabs>
        <w:ind w:left="5040" w:hanging="360"/>
      </w:pPr>
      <w:rPr>
        <w:rFonts w:ascii="Arial" w:hAnsi="Arial" w:cs="Times New Roman" w:hint="default"/>
      </w:rPr>
    </w:lvl>
    <w:lvl w:ilvl="7" w:tplc="5E86CBA8">
      <w:start w:val="1"/>
      <w:numFmt w:val="bullet"/>
      <w:lvlText w:val="•"/>
      <w:lvlJc w:val="left"/>
      <w:pPr>
        <w:tabs>
          <w:tab w:val="num" w:pos="5760"/>
        </w:tabs>
        <w:ind w:left="5760" w:hanging="360"/>
      </w:pPr>
      <w:rPr>
        <w:rFonts w:ascii="Arial" w:hAnsi="Arial" w:cs="Times New Roman" w:hint="default"/>
      </w:rPr>
    </w:lvl>
    <w:lvl w:ilvl="8" w:tplc="623ACF4C">
      <w:start w:val="1"/>
      <w:numFmt w:val="bullet"/>
      <w:lvlText w:val="•"/>
      <w:lvlJc w:val="left"/>
      <w:pPr>
        <w:tabs>
          <w:tab w:val="num" w:pos="6480"/>
        </w:tabs>
        <w:ind w:left="6480" w:hanging="360"/>
      </w:pPr>
      <w:rPr>
        <w:rFonts w:ascii="Arial" w:hAnsi="Arial" w:cs="Times New Roman" w:hint="default"/>
      </w:rPr>
    </w:lvl>
  </w:abstractNum>
  <w:abstractNum w:abstractNumId="2">
    <w:nsid w:val="2FA879C9"/>
    <w:multiLevelType w:val="hybridMultilevel"/>
    <w:tmpl w:val="C0E0CFDC"/>
    <w:lvl w:ilvl="0" w:tplc="A2B0D2EC">
      <w:start w:val="1"/>
      <w:numFmt w:val="bullet"/>
      <w:lvlText w:val="•"/>
      <w:lvlJc w:val="left"/>
      <w:pPr>
        <w:tabs>
          <w:tab w:val="num" w:pos="720"/>
        </w:tabs>
        <w:ind w:left="720" w:hanging="360"/>
      </w:pPr>
      <w:rPr>
        <w:rFonts w:ascii="Arial" w:hAnsi="Arial" w:cs="Times New Roman" w:hint="default"/>
      </w:rPr>
    </w:lvl>
    <w:lvl w:ilvl="1" w:tplc="52A64514">
      <w:start w:val="1"/>
      <w:numFmt w:val="bullet"/>
      <w:lvlText w:val="•"/>
      <w:lvlJc w:val="left"/>
      <w:pPr>
        <w:tabs>
          <w:tab w:val="num" w:pos="1440"/>
        </w:tabs>
        <w:ind w:left="1440" w:hanging="360"/>
      </w:pPr>
      <w:rPr>
        <w:rFonts w:ascii="Arial" w:hAnsi="Arial" w:cs="Times New Roman" w:hint="default"/>
      </w:rPr>
    </w:lvl>
    <w:lvl w:ilvl="2" w:tplc="9DE873FE">
      <w:start w:val="1"/>
      <w:numFmt w:val="bullet"/>
      <w:lvlText w:val="•"/>
      <w:lvlJc w:val="left"/>
      <w:pPr>
        <w:tabs>
          <w:tab w:val="num" w:pos="2160"/>
        </w:tabs>
        <w:ind w:left="2160" w:hanging="360"/>
      </w:pPr>
      <w:rPr>
        <w:rFonts w:ascii="Arial" w:hAnsi="Arial" w:cs="Times New Roman" w:hint="default"/>
      </w:rPr>
    </w:lvl>
    <w:lvl w:ilvl="3" w:tplc="547EFD08">
      <w:start w:val="1"/>
      <w:numFmt w:val="bullet"/>
      <w:lvlText w:val="•"/>
      <w:lvlJc w:val="left"/>
      <w:pPr>
        <w:tabs>
          <w:tab w:val="num" w:pos="2880"/>
        </w:tabs>
        <w:ind w:left="2880" w:hanging="360"/>
      </w:pPr>
      <w:rPr>
        <w:rFonts w:ascii="Arial" w:hAnsi="Arial" w:cs="Times New Roman" w:hint="default"/>
      </w:rPr>
    </w:lvl>
    <w:lvl w:ilvl="4" w:tplc="A3DA5534">
      <w:start w:val="1"/>
      <w:numFmt w:val="bullet"/>
      <w:lvlText w:val="•"/>
      <w:lvlJc w:val="left"/>
      <w:pPr>
        <w:tabs>
          <w:tab w:val="num" w:pos="3600"/>
        </w:tabs>
        <w:ind w:left="3600" w:hanging="360"/>
      </w:pPr>
      <w:rPr>
        <w:rFonts w:ascii="Arial" w:hAnsi="Arial" w:cs="Times New Roman" w:hint="default"/>
      </w:rPr>
    </w:lvl>
    <w:lvl w:ilvl="5" w:tplc="227E9C40">
      <w:start w:val="1"/>
      <w:numFmt w:val="bullet"/>
      <w:lvlText w:val="•"/>
      <w:lvlJc w:val="left"/>
      <w:pPr>
        <w:tabs>
          <w:tab w:val="num" w:pos="4320"/>
        </w:tabs>
        <w:ind w:left="4320" w:hanging="360"/>
      </w:pPr>
      <w:rPr>
        <w:rFonts w:ascii="Arial" w:hAnsi="Arial" w:cs="Times New Roman" w:hint="default"/>
      </w:rPr>
    </w:lvl>
    <w:lvl w:ilvl="6" w:tplc="B05EB532">
      <w:start w:val="1"/>
      <w:numFmt w:val="bullet"/>
      <w:lvlText w:val="•"/>
      <w:lvlJc w:val="left"/>
      <w:pPr>
        <w:tabs>
          <w:tab w:val="num" w:pos="5040"/>
        </w:tabs>
        <w:ind w:left="5040" w:hanging="360"/>
      </w:pPr>
      <w:rPr>
        <w:rFonts w:ascii="Arial" w:hAnsi="Arial" w:cs="Times New Roman" w:hint="default"/>
      </w:rPr>
    </w:lvl>
    <w:lvl w:ilvl="7" w:tplc="C66E0BBC">
      <w:start w:val="1"/>
      <w:numFmt w:val="bullet"/>
      <w:lvlText w:val="•"/>
      <w:lvlJc w:val="left"/>
      <w:pPr>
        <w:tabs>
          <w:tab w:val="num" w:pos="5760"/>
        </w:tabs>
        <w:ind w:left="5760" w:hanging="360"/>
      </w:pPr>
      <w:rPr>
        <w:rFonts w:ascii="Arial" w:hAnsi="Arial" w:cs="Times New Roman" w:hint="default"/>
      </w:rPr>
    </w:lvl>
    <w:lvl w:ilvl="8" w:tplc="70C499AA">
      <w:start w:val="1"/>
      <w:numFmt w:val="bullet"/>
      <w:lvlText w:val="•"/>
      <w:lvlJc w:val="left"/>
      <w:pPr>
        <w:tabs>
          <w:tab w:val="num" w:pos="6480"/>
        </w:tabs>
        <w:ind w:left="6480" w:hanging="360"/>
      </w:pPr>
      <w:rPr>
        <w:rFonts w:ascii="Arial" w:hAnsi="Arial" w:cs="Times New Roman" w:hint="default"/>
      </w:rPr>
    </w:lvl>
  </w:abstractNum>
  <w:abstractNum w:abstractNumId="3">
    <w:nsid w:val="66D71822"/>
    <w:multiLevelType w:val="hybridMultilevel"/>
    <w:tmpl w:val="04B03DA2"/>
    <w:lvl w:ilvl="0" w:tplc="F702C92A">
      <w:start w:val="1"/>
      <w:numFmt w:val="bullet"/>
      <w:lvlText w:val="•"/>
      <w:lvlJc w:val="left"/>
      <w:pPr>
        <w:tabs>
          <w:tab w:val="num" w:pos="720"/>
        </w:tabs>
        <w:ind w:left="720" w:hanging="360"/>
      </w:pPr>
      <w:rPr>
        <w:rFonts w:ascii="Arial" w:hAnsi="Arial" w:cs="Times New Roman" w:hint="default"/>
      </w:rPr>
    </w:lvl>
    <w:lvl w:ilvl="1" w:tplc="F8CC694C">
      <w:start w:val="1"/>
      <w:numFmt w:val="bullet"/>
      <w:lvlText w:val="•"/>
      <w:lvlJc w:val="left"/>
      <w:pPr>
        <w:tabs>
          <w:tab w:val="num" w:pos="1440"/>
        </w:tabs>
        <w:ind w:left="1440" w:hanging="360"/>
      </w:pPr>
      <w:rPr>
        <w:rFonts w:ascii="Arial" w:hAnsi="Arial" w:cs="Times New Roman" w:hint="default"/>
      </w:rPr>
    </w:lvl>
    <w:lvl w:ilvl="2" w:tplc="16E808CE">
      <w:start w:val="1"/>
      <w:numFmt w:val="bullet"/>
      <w:lvlText w:val="•"/>
      <w:lvlJc w:val="left"/>
      <w:pPr>
        <w:tabs>
          <w:tab w:val="num" w:pos="2160"/>
        </w:tabs>
        <w:ind w:left="2160" w:hanging="360"/>
      </w:pPr>
      <w:rPr>
        <w:rFonts w:ascii="Arial" w:hAnsi="Arial" w:cs="Times New Roman" w:hint="default"/>
      </w:rPr>
    </w:lvl>
    <w:lvl w:ilvl="3" w:tplc="0EC2885E">
      <w:start w:val="1"/>
      <w:numFmt w:val="bullet"/>
      <w:lvlText w:val="•"/>
      <w:lvlJc w:val="left"/>
      <w:pPr>
        <w:tabs>
          <w:tab w:val="num" w:pos="2880"/>
        </w:tabs>
        <w:ind w:left="2880" w:hanging="360"/>
      </w:pPr>
      <w:rPr>
        <w:rFonts w:ascii="Arial" w:hAnsi="Arial" w:cs="Times New Roman" w:hint="default"/>
      </w:rPr>
    </w:lvl>
    <w:lvl w:ilvl="4" w:tplc="0E94953E">
      <w:start w:val="1"/>
      <w:numFmt w:val="bullet"/>
      <w:lvlText w:val="•"/>
      <w:lvlJc w:val="left"/>
      <w:pPr>
        <w:tabs>
          <w:tab w:val="num" w:pos="3600"/>
        </w:tabs>
        <w:ind w:left="3600" w:hanging="360"/>
      </w:pPr>
      <w:rPr>
        <w:rFonts w:ascii="Arial" w:hAnsi="Arial" w:cs="Times New Roman" w:hint="default"/>
      </w:rPr>
    </w:lvl>
    <w:lvl w:ilvl="5" w:tplc="0486DB94">
      <w:start w:val="1"/>
      <w:numFmt w:val="bullet"/>
      <w:lvlText w:val="•"/>
      <w:lvlJc w:val="left"/>
      <w:pPr>
        <w:tabs>
          <w:tab w:val="num" w:pos="4320"/>
        </w:tabs>
        <w:ind w:left="4320" w:hanging="360"/>
      </w:pPr>
      <w:rPr>
        <w:rFonts w:ascii="Arial" w:hAnsi="Arial" w:cs="Times New Roman" w:hint="default"/>
      </w:rPr>
    </w:lvl>
    <w:lvl w:ilvl="6" w:tplc="6CDEDB28">
      <w:start w:val="1"/>
      <w:numFmt w:val="bullet"/>
      <w:lvlText w:val="•"/>
      <w:lvlJc w:val="left"/>
      <w:pPr>
        <w:tabs>
          <w:tab w:val="num" w:pos="5040"/>
        </w:tabs>
        <w:ind w:left="5040" w:hanging="360"/>
      </w:pPr>
      <w:rPr>
        <w:rFonts w:ascii="Arial" w:hAnsi="Arial" w:cs="Times New Roman" w:hint="default"/>
      </w:rPr>
    </w:lvl>
    <w:lvl w:ilvl="7" w:tplc="3600194A">
      <w:start w:val="1"/>
      <w:numFmt w:val="bullet"/>
      <w:lvlText w:val="•"/>
      <w:lvlJc w:val="left"/>
      <w:pPr>
        <w:tabs>
          <w:tab w:val="num" w:pos="5760"/>
        </w:tabs>
        <w:ind w:left="5760" w:hanging="360"/>
      </w:pPr>
      <w:rPr>
        <w:rFonts w:ascii="Arial" w:hAnsi="Arial" w:cs="Times New Roman" w:hint="default"/>
      </w:rPr>
    </w:lvl>
    <w:lvl w:ilvl="8" w:tplc="A21CB5C8">
      <w:start w:val="1"/>
      <w:numFmt w:val="bullet"/>
      <w:lvlText w:val="•"/>
      <w:lvlJc w:val="left"/>
      <w:pPr>
        <w:tabs>
          <w:tab w:val="num" w:pos="6480"/>
        </w:tabs>
        <w:ind w:left="6480" w:hanging="360"/>
      </w:pPr>
      <w:rPr>
        <w:rFonts w:ascii="Arial" w:hAnsi="Arial" w:cs="Times New Roman"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02C"/>
    <w:rsid w:val="00005C44"/>
    <w:rsid w:val="0022365F"/>
    <w:rsid w:val="002236E3"/>
    <w:rsid w:val="002C6B18"/>
    <w:rsid w:val="002D6F71"/>
    <w:rsid w:val="004B37B4"/>
    <w:rsid w:val="0056002C"/>
    <w:rsid w:val="005C2B9B"/>
    <w:rsid w:val="00885A2D"/>
    <w:rsid w:val="00975C49"/>
    <w:rsid w:val="009A4E50"/>
    <w:rsid w:val="00B91EA9"/>
    <w:rsid w:val="00C4764B"/>
    <w:rsid w:val="00E51018"/>
    <w:rsid w:val="00ED49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02C"/>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02C"/>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56002C"/>
    <w:pPr>
      <w:spacing w:after="0" w:line="240" w:lineRule="auto"/>
    </w:pPr>
    <w:rPr>
      <w:lang w:val="nb-N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02C"/>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02C"/>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56002C"/>
    <w:pPr>
      <w:spacing w:after="0" w:line="240" w:lineRule="auto"/>
    </w:pPr>
    <w:rPr>
      <w:lang w:val="nb-N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995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 Rødahl Lie</dc:creator>
  <cp:lastModifiedBy>Elin Rødahl Lie</cp:lastModifiedBy>
  <cp:revision>9</cp:revision>
  <cp:lastPrinted>2016-01-14T14:10:00Z</cp:lastPrinted>
  <dcterms:created xsi:type="dcterms:W3CDTF">2016-01-14T12:24:00Z</dcterms:created>
  <dcterms:modified xsi:type="dcterms:W3CDTF">2016-01-14T15:15:00Z</dcterms:modified>
</cp:coreProperties>
</file>