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C6F6" w14:textId="1991964E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  <w:i/>
          <w:iCs/>
        </w:rPr>
        <w:t>Foreløpig oppsummering per 1.7.2021</w:t>
      </w:r>
    </w:p>
    <w:p w14:paraId="05E432A3" w14:textId="30ADF0ED" w:rsidR="41B127CD" w:rsidRDefault="41B127CD" w:rsidP="003152C2">
      <w:pPr>
        <w:pStyle w:val="Overskrift2"/>
      </w:pPr>
      <w:r w:rsidRPr="50DFC1CA">
        <w:rPr>
          <w:rFonts w:ascii="Calibri Light" w:eastAsia="Calibri Light" w:hAnsi="Calibri Light" w:cs="Calibri Light"/>
          <w:color w:val="2E74B5" w:themeColor="accent5" w:themeShade="BF"/>
          <w:szCs w:val="40"/>
        </w:rPr>
        <w:t xml:space="preserve">Forhold å være oppmerksom på mht. </w:t>
      </w:r>
      <w:r w:rsidR="003152C2">
        <w:rPr>
          <w:rFonts w:ascii="Calibri Light" w:eastAsia="Calibri Light" w:hAnsi="Calibri Light" w:cs="Calibri Light"/>
          <w:color w:val="2E74B5" w:themeColor="accent5" w:themeShade="BF"/>
          <w:szCs w:val="40"/>
        </w:rPr>
        <w:t>2021-</w:t>
      </w:r>
      <w:r w:rsidRPr="50DFC1CA">
        <w:rPr>
          <w:rFonts w:ascii="Calibri Light" w:eastAsia="Calibri Light" w:hAnsi="Calibri Light" w:cs="Calibri Light"/>
          <w:color w:val="2E74B5" w:themeColor="accent5" w:themeShade="BF"/>
          <w:szCs w:val="40"/>
        </w:rPr>
        <w:t xml:space="preserve">økonomistyringsdata i nytt økonomisystem </w:t>
      </w:r>
    </w:p>
    <w:p w14:paraId="3B443B47" w14:textId="4A9F7D29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 xml:space="preserve"> </w:t>
      </w:r>
    </w:p>
    <w:p w14:paraId="5C2EFB35" w14:textId="05D94C22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 xml:space="preserve">2021 vil være et </w:t>
      </w:r>
      <w:proofErr w:type="spellStart"/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annerledesår</w:t>
      </w:r>
      <w:proofErr w:type="spellEnd"/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 xml:space="preserve"> i økonomistyringen</w:t>
      </w:r>
    </w:p>
    <w:p w14:paraId="3BA6F3AF" w14:textId="57DE12BA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>Overgang mellom systemer midt i et år vi nødvendigvis måtte medføre en del utfordringer mht. økonomistyring. Vi forsøker her å gi en foreløpig oppsummering av en del forhold man bør være oppmerksom på mht. å forstå regnskaps- og budsjettallene i 2021.</w:t>
      </w:r>
    </w:p>
    <w:p w14:paraId="336886C6" w14:textId="458F2847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 xml:space="preserve"> </w:t>
      </w:r>
    </w:p>
    <w:p w14:paraId="7DA67D08" w14:textId="035D9EC7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Regnskap T1-2021</w:t>
      </w:r>
    </w:p>
    <w:p w14:paraId="59CC2327" w14:textId="7054B3B0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>Regnskapet for T1 (januar til april) er konvertert fra gammelt til nytt økonomistyringssystem på resultatkonti (inntekter og kostnader).</w:t>
      </w:r>
    </w:p>
    <w:p w14:paraId="3CE53B57" w14:textId="2647F98C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 xml:space="preserve">Mht. BOA </w:t>
      </w:r>
      <w:r w:rsidRPr="50DFC1CA">
        <w:rPr>
          <w:rFonts w:ascii="Calibri" w:eastAsia="Calibri" w:hAnsi="Calibri" w:cs="Calibri"/>
          <w:b/>
          <w:bCs/>
          <w:i/>
          <w:iCs/>
        </w:rPr>
        <w:t>og</w:t>
      </w:r>
      <w:r w:rsidRPr="50DFC1CA">
        <w:rPr>
          <w:rFonts w:ascii="Calibri" w:eastAsia="Calibri" w:hAnsi="Calibri" w:cs="Calibri"/>
          <w:b/>
          <w:bCs/>
        </w:rPr>
        <w:t xml:space="preserve"> bevilgning:</w:t>
      </w:r>
    </w:p>
    <w:p w14:paraId="431B3A17" w14:textId="3EDA4735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Åpningssaldoen (regnskap for T1) i nytt system utgjøres av…</w:t>
      </w:r>
    </w:p>
    <w:p w14:paraId="01A274E0" w14:textId="7F8FA4AC" w:rsidR="41B127CD" w:rsidRDefault="41B127CD" w:rsidP="50DFC1CA">
      <w:pPr>
        <w:pStyle w:val="Listeavsnitt"/>
        <w:numPr>
          <w:ilvl w:val="1"/>
          <w:numId w:val="2"/>
        </w:numPr>
      </w:pPr>
      <w:r w:rsidRPr="50DFC1CA">
        <w:rPr>
          <w:rFonts w:ascii="Calibri" w:eastAsia="Calibri" w:hAnsi="Calibri" w:cs="Calibri"/>
        </w:rPr>
        <w:t>en «</w:t>
      </w:r>
      <w:proofErr w:type="spellStart"/>
      <w:r w:rsidRPr="50DFC1CA">
        <w:rPr>
          <w:rFonts w:ascii="Calibri" w:eastAsia="Calibri" w:hAnsi="Calibri" w:cs="Calibri"/>
        </w:rPr>
        <w:t>initiell</w:t>
      </w:r>
      <w:proofErr w:type="spellEnd"/>
      <w:r w:rsidRPr="50DFC1CA">
        <w:rPr>
          <w:rFonts w:ascii="Calibri" w:eastAsia="Calibri" w:hAnsi="Calibri" w:cs="Calibri"/>
        </w:rPr>
        <w:t xml:space="preserve"> åpningssaldo», postert i periode 4</w:t>
      </w:r>
    </w:p>
    <w:p w14:paraId="0DC05B41" w14:textId="1A097F97" w:rsidR="41B127CD" w:rsidRDefault="41B127CD" w:rsidP="50DFC1CA">
      <w:pPr>
        <w:pStyle w:val="Listeavsnitt"/>
        <w:numPr>
          <w:ilvl w:val="1"/>
          <w:numId w:val="2"/>
        </w:numPr>
      </w:pPr>
      <w:r w:rsidRPr="50DFC1CA">
        <w:rPr>
          <w:rFonts w:ascii="Calibri" w:eastAsia="Calibri" w:hAnsi="Calibri" w:cs="Calibri"/>
        </w:rPr>
        <w:t>omposteringer foretatt i periode 5 og 6</w:t>
      </w:r>
    </w:p>
    <w:p w14:paraId="671970DE" w14:textId="0316539D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Det er laget egne Tableau-rapporter som skiller mellom hhv. åpningssaldo (</w:t>
      </w:r>
      <w:proofErr w:type="spellStart"/>
      <w:r w:rsidRPr="50DFC1CA">
        <w:rPr>
          <w:rFonts w:ascii="Calibri" w:eastAsia="Calibri" w:hAnsi="Calibri" w:cs="Calibri"/>
        </w:rPr>
        <w:t>initiell</w:t>
      </w:r>
      <w:proofErr w:type="spellEnd"/>
      <w:r w:rsidRPr="50DFC1CA">
        <w:rPr>
          <w:rFonts w:ascii="Calibri" w:eastAsia="Calibri" w:hAnsi="Calibri" w:cs="Calibri"/>
        </w:rPr>
        <w:t xml:space="preserve"> og ompostering) vs. ordinære transaksjoner</w:t>
      </w:r>
    </w:p>
    <w:p w14:paraId="79191614" w14:textId="629BDC0E" w:rsidR="41B127CD" w:rsidRDefault="41B127CD" w:rsidP="50DFC1CA">
      <w:pPr>
        <w:pStyle w:val="Listeavsnitt"/>
        <w:numPr>
          <w:ilvl w:val="0"/>
          <w:numId w:val="2"/>
        </w:numPr>
      </w:pPr>
      <w:r w:rsidRPr="08BBB5A5">
        <w:rPr>
          <w:rFonts w:ascii="Calibri" w:eastAsia="Calibri" w:hAnsi="Calibri" w:cs="Calibri"/>
        </w:rPr>
        <w:t xml:space="preserve">Åpningssaldoen er på overordnet nivå. Ytterligere detaljer </w:t>
      </w:r>
      <w:r w:rsidR="00B80E98" w:rsidRPr="08BBB5A5">
        <w:rPr>
          <w:rFonts w:ascii="Calibri" w:eastAsia="Calibri" w:hAnsi="Calibri" w:cs="Calibri"/>
        </w:rPr>
        <w:t xml:space="preserve">på transaksjonsnivå </w:t>
      </w:r>
      <w:r w:rsidRPr="08BBB5A5">
        <w:rPr>
          <w:rFonts w:ascii="Calibri" w:eastAsia="Calibri" w:hAnsi="Calibri" w:cs="Calibri"/>
        </w:rPr>
        <w:t>kan finnes i de gamle systemene</w:t>
      </w:r>
    </w:p>
    <w:p w14:paraId="628EEF74" w14:textId="279663F6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>Mht. bevilgning</w:t>
      </w:r>
    </w:p>
    <w:p w14:paraId="29E8B10A" w14:textId="0006AD2C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Initiell åpningssaldo (ført i periode 4) ble ført på ett felles delprosjekt (103051001)</w:t>
      </w:r>
    </w:p>
    <w:p w14:paraId="15EDB85C" w14:textId="0508363C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Omposteringsbilagene (ført i periode 5) omposterer til reelle delprosjekter</w:t>
      </w:r>
    </w:p>
    <w:p w14:paraId="5859ABF1" w14:textId="411122B5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Enkelte enheter har også laget egne omposteringer ut over dette. Slike egne omposteringer er ikke hensyntatt i de nevnte Tableau-rapportene</w:t>
      </w:r>
    </w:p>
    <w:p w14:paraId="77E6A459" w14:textId="64446871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>Mht. BOA</w:t>
      </w:r>
    </w:p>
    <w:p w14:paraId="35586777" w14:textId="501FEBF3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Initiell åpningssaldo (ført i periode 4) ble i sin helhet ført på ett delprosjekt (103052001)</w:t>
      </w:r>
    </w:p>
    <w:p w14:paraId="2396B257" w14:textId="10450B78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Initiell åpningssaldo er i periode 5 og 6 ompostert/korrigert for å hensynta nytt BOA-regnskapsprinsipp (mer om dette i eget avsnitt nedenfor)</w:t>
      </w:r>
    </w:p>
    <w:p w14:paraId="485C4734" w14:textId="2E2D193C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BOA-saldoen fra T1 vil IKKE bli ompostert til faktiske prosjekter/delprosjekter (blir liggende på delprosjekt 103052001)</w:t>
      </w:r>
    </w:p>
    <w:p w14:paraId="33DEDC6E" w14:textId="722D9D77" w:rsidR="41B127CD" w:rsidRDefault="41B127CD" w:rsidP="50DFC1CA">
      <w:pPr>
        <w:pStyle w:val="Listeavsnitt"/>
        <w:numPr>
          <w:ilvl w:val="0"/>
          <w:numId w:val="2"/>
        </w:numPr>
      </w:pPr>
      <w:r w:rsidRPr="08BBB5A5">
        <w:rPr>
          <w:rFonts w:ascii="Calibri" w:eastAsia="Calibri" w:hAnsi="Calibri" w:cs="Calibri"/>
        </w:rPr>
        <w:t>Fra og med periode 5 vil imidlertid BOA-regnskapene føres på prosjekt/delprosjekt-nivå</w:t>
      </w:r>
    </w:p>
    <w:p w14:paraId="6AF77537" w14:textId="3ABE82ED" w:rsidR="41B127CD" w:rsidRDefault="41B127CD" w:rsidP="50DFC1CA">
      <w:pPr>
        <w:pStyle w:val="Listeavsnitt"/>
        <w:numPr>
          <w:ilvl w:val="0"/>
          <w:numId w:val="2"/>
        </w:numPr>
      </w:pPr>
      <w:r w:rsidRPr="50DFC1CA">
        <w:rPr>
          <w:rFonts w:ascii="Calibri" w:eastAsia="Calibri" w:hAnsi="Calibri" w:cs="Calibri"/>
        </w:rPr>
        <w:t>Oppsummert betyr dette:</w:t>
      </w:r>
    </w:p>
    <w:p w14:paraId="50E834BB" w14:textId="73068673" w:rsidR="41B127CD" w:rsidRDefault="41B127CD" w:rsidP="50DFC1CA">
      <w:pPr>
        <w:pStyle w:val="Listeavsnitt"/>
        <w:numPr>
          <w:ilvl w:val="1"/>
          <w:numId w:val="2"/>
        </w:numPr>
      </w:pPr>
      <w:r w:rsidRPr="50DFC1CA">
        <w:rPr>
          <w:rFonts w:ascii="Calibri" w:eastAsia="Calibri" w:hAnsi="Calibri" w:cs="Calibri"/>
        </w:rPr>
        <w:t>BOA-</w:t>
      </w:r>
      <w:r w:rsidRPr="50DFC1CA">
        <w:rPr>
          <w:rFonts w:ascii="Calibri" w:eastAsia="Calibri" w:hAnsi="Calibri" w:cs="Calibri"/>
          <w:i/>
          <w:iCs/>
        </w:rPr>
        <w:t>porteføljeregnskapet</w:t>
      </w:r>
      <w:r w:rsidRPr="50DFC1CA">
        <w:rPr>
          <w:rFonts w:ascii="Calibri" w:eastAsia="Calibri" w:hAnsi="Calibri" w:cs="Calibri"/>
        </w:rPr>
        <w:t xml:space="preserve"> vil inneholde tall for </w:t>
      </w:r>
      <w:r w:rsidRPr="50DFC1CA">
        <w:rPr>
          <w:rFonts w:ascii="Calibri" w:eastAsia="Calibri" w:hAnsi="Calibri" w:cs="Calibri"/>
          <w:i/>
          <w:iCs/>
        </w:rPr>
        <w:t>hele</w:t>
      </w:r>
      <w:r w:rsidRPr="50DFC1CA">
        <w:rPr>
          <w:rFonts w:ascii="Calibri" w:eastAsia="Calibri" w:hAnsi="Calibri" w:cs="Calibri"/>
        </w:rPr>
        <w:t xml:space="preserve"> 2021</w:t>
      </w:r>
    </w:p>
    <w:p w14:paraId="44797983" w14:textId="604DEC43" w:rsidR="41B127CD" w:rsidRDefault="41B127CD" w:rsidP="50DFC1CA">
      <w:pPr>
        <w:pStyle w:val="Listeavsnitt"/>
        <w:numPr>
          <w:ilvl w:val="1"/>
          <w:numId w:val="2"/>
        </w:numPr>
      </w:pPr>
      <w:r w:rsidRPr="50DFC1CA">
        <w:rPr>
          <w:rFonts w:ascii="Calibri" w:eastAsia="Calibri" w:hAnsi="Calibri" w:cs="Calibri"/>
        </w:rPr>
        <w:t xml:space="preserve">De enkelte prosjektene/-delprosjektene vil i Unit4 </w:t>
      </w:r>
      <w:r w:rsidRPr="50DFC1CA">
        <w:rPr>
          <w:rFonts w:ascii="Calibri" w:eastAsia="Calibri" w:hAnsi="Calibri" w:cs="Calibri"/>
          <w:i/>
          <w:iCs/>
        </w:rPr>
        <w:t>ikke</w:t>
      </w:r>
      <w:r w:rsidRPr="50DFC1CA">
        <w:rPr>
          <w:rFonts w:ascii="Calibri" w:eastAsia="Calibri" w:hAnsi="Calibri" w:cs="Calibri"/>
        </w:rPr>
        <w:t xml:space="preserve"> ha regnskap for de første 4 månedene i 2021</w:t>
      </w:r>
    </w:p>
    <w:p w14:paraId="3E05DE8A" w14:textId="2BEBAD24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Budsjett og prognose 2021</w:t>
      </w:r>
    </w:p>
    <w:p w14:paraId="393C9F68" w14:textId="41DA472B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 xml:space="preserve">Det har i det nye systemet blitt lagt inn et </w:t>
      </w:r>
      <w:proofErr w:type="spellStart"/>
      <w:r w:rsidRPr="50DFC1CA">
        <w:rPr>
          <w:rFonts w:ascii="Calibri" w:eastAsia="Calibri" w:hAnsi="Calibri" w:cs="Calibri"/>
        </w:rPr>
        <w:t>initielt</w:t>
      </w:r>
      <w:proofErr w:type="spellEnd"/>
      <w:r w:rsidRPr="50DFC1CA">
        <w:rPr>
          <w:rFonts w:ascii="Calibri" w:eastAsia="Calibri" w:hAnsi="Calibri" w:cs="Calibri"/>
        </w:rPr>
        <w:t xml:space="preserve"> årsbudsjett 2021 som tilsvarer innlevert/vedtatt budsjett fra 15.12.2020, konvertert til ny økonomimodell</w:t>
      </w:r>
    </w:p>
    <w:p w14:paraId="5423D39B" w14:textId="4CEA36AC" w:rsidR="41B127CD" w:rsidRDefault="41B127CD" w:rsidP="50DFC1CA">
      <w:pPr>
        <w:pStyle w:val="Listeavsnitt"/>
        <w:numPr>
          <w:ilvl w:val="0"/>
          <w:numId w:val="1"/>
        </w:numPr>
      </w:pPr>
      <w:r w:rsidRPr="08BBB5A5">
        <w:rPr>
          <w:rFonts w:ascii="Calibri" w:eastAsia="Calibri" w:hAnsi="Calibri" w:cs="Calibri"/>
        </w:rPr>
        <w:lastRenderedPageBreak/>
        <w:t>Dette initielle årsbudsjettet er på et mer overordnet nivå enn normalt. Evt. bakenforliggende detaljer finnes i gammelt system (Buddy). For å finne sammenhengen mellom gammel og ny økonomimodell vises det til enhetenes konverteringsverktøy, som fakultetets RBK</w:t>
      </w:r>
      <w:r w:rsidR="00B55947" w:rsidRPr="08BBB5A5">
        <w:rPr>
          <w:rFonts w:ascii="Calibri" w:eastAsia="Calibri" w:hAnsi="Calibri" w:cs="Calibri"/>
        </w:rPr>
        <w:t>-</w:t>
      </w:r>
      <w:r w:rsidRPr="08BBB5A5">
        <w:rPr>
          <w:rFonts w:ascii="Calibri" w:eastAsia="Calibri" w:hAnsi="Calibri" w:cs="Calibri"/>
        </w:rPr>
        <w:t>er (regnskaps- og budsjettkonverteringsansvarlige) har tilgang til</w:t>
      </w:r>
    </w:p>
    <w:p w14:paraId="07AEF097" w14:textId="55EDCAEF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I det nye systemet er det et skille mellom BOA-</w:t>
      </w:r>
      <w:r w:rsidRPr="50DFC1CA">
        <w:rPr>
          <w:rFonts w:ascii="Calibri" w:eastAsia="Calibri" w:hAnsi="Calibri" w:cs="Calibri"/>
          <w:i/>
          <w:iCs/>
        </w:rPr>
        <w:t>porteføljebudsjettet</w:t>
      </w:r>
      <w:r w:rsidRPr="50DFC1CA">
        <w:rPr>
          <w:rFonts w:ascii="Calibri" w:eastAsia="Calibri" w:hAnsi="Calibri" w:cs="Calibri"/>
        </w:rPr>
        <w:t xml:space="preserve"> og BOA-</w:t>
      </w:r>
      <w:r w:rsidRPr="50DFC1CA">
        <w:rPr>
          <w:rFonts w:ascii="Calibri" w:eastAsia="Calibri" w:hAnsi="Calibri" w:cs="Calibri"/>
          <w:i/>
          <w:iCs/>
        </w:rPr>
        <w:t>enkeltprosjektbudsjetter</w:t>
      </w:r>
    </w:p>
    <w:p w14:paraId="3A5553FB" w14:textId="30355476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I 2021 vil BOA-</w:t>
      </w:r>
      <w:r w:rsidRPr="50DFC1CA">
        <w:rPr>
          <w:rFonts w:ascii="Calibri" w:eastAsia="Calibri" w:hAnsi="Calibri" w:cs="Calibri"/>
          <w:i/>
          <w:iCs/>
        </w:rPr>
        <w:t>porteføljebudsjettet</w:t>
      </w:r>
      <w:r w:rsidRPr="50DFC1CA">
        <w:rPr>
          <w:rFonts w:ascii="Calibri" w:eastAsia="Calibri" w:hAnsi="Calibri" w:cs="Calibri"/>
        </w:rPr>
        <w:t xml:space="preserve"> være for hele året, mens BOA-</w:t>
      </w:r>
      <w:r w:rsidRPr="50DFC1CA">
        <w:rPr>
          <w:rFonts w:ascii="Calibri" w:eastAsia="Calibri" w:hAnsi="Calibri" w:cs="Calibri"/>
          <w:i/>
          <w:iCs/>
        </w:rPr>
        <w:t xml:space="preserve">enkeltprosjektbudsjettene </w:t>
      </w:r>
      <w:r w:rsidRPr="50DFC1CA">
        <w:rPr>
          <w:rFonts w:ascii="Calibri" w:eastAsia="Calibri" w:hAnsi="Calibri" w:cs="Calibri"/>
        </w:rPr>
        <w:t>vil være for årets siste 8 måneder</w:t>
      </w:r>
    </w:p>
    <w:p w14:paraId="79C9AF6F" w14:textId="690C83F0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Fram mot T2 vil enhetene jobbe med en oppdatert prognose i det nye systemet</w:t>
      </w:r>
    </w:p>
    <w:p w14:paraId="1370EEA0" w14:textId="4331A0A7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 xml:space="preserve"> </w:t>
      </w:r>
    </w:p>
    <w:p w14:paraId="500A04A4" w14:textId="7FC7C5D7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Nytt regnskapsprinsipp BOA</w:t>
      </w:r>
    </w:p>
    <w:p w14:paraId="6288A77C" w14:textId="4E67439A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>BOA-regnskapene vil i det nye systemet vises iht. prinsippet om «motsatt sammenstilling». Dette er iht. de Statlige regnskapsstandardene (SRS)</w:t>
      </w:r>
    </w:p>
    <w:p w14:paraId="5F116234" w14:textId="5C29F94E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>Dette betyr i praksis:</w:t>
      </w:r>
    </w:p>
    <w:p w14:paraId="72C2AE4E" w14:textId="2A655BBE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 xml:space="preserve">BOA-inntektene i det nye systemet vil være basert på kostnadspådraget. </w:t>
      </w:r>
    </w:p>
    <w:p w14:paraId="6604FE21" w14:textId="1F8EE715" w:rsidR="41B127CD" w:rsidRDefault="41B127CD" w:rsidP="50DFC1CA">
      <w:pPr>
        <w:pStyle w:val="Listeavsnitt"/>
        <w:numPr>
          <w:ilvl w:val="0"/>
          <w:numId w:val="1"/>
        </w:numPr>
      </w:pPr>
      <w:r w:rsidRPr="6A617FF7">
        <w:rPr>
          <w:rFonts w:ascii="Calibri" w:eastAsia="Calibri" w:hAnsi="Calibri" w:cs="Calibri"/>
        </w:rPr>
        <w:t>De</w:t>
      </w:r>
      <w:r w:rsidR="02CEC510" w:rsidRPr="6A617FF7">
        <w:rPr>
          <w:rFonts w:ascii="Calibri" w:eastAsia="Calibri" w:hAnsi="Calibri" w:cs="Calibri"/>
        </w:rPr>
        <w:t>t</w:t>
      </w:r>
      <w:r w:rsidRPr="6A617FF7">
        <w:rPr>
          <w:rFonts w:ascii="Calibri" w:eastAsia="Calibri" w:hAnsi="Calibri" w:cs="Calibri"/>
        </w:rPr>
        <w:t>t</w:t>
      </w:r>
      <w:r w:rsidR="02CEC510" w:rsidRPr="6A617FF7">
        <w:rPr>
          <w:rFonts w:ascii="Calibri" w:eastAsia="Calibri" w:hAnsi="Calibri" w:cs="Calibri"/>
        </w:rPr>
        <w:t xml:space="preserve">e innebærer </w:t>
      </w:r>
      <w:r w:rsidRPr="6A617FF7">
        <w:rPr>
          <w:rFonts w:ascii="Calibri" w:eastAsia="Calibri" w:hAnsi="Calibri" w:cs="Calibri"/>
        </w:rPr>
        <w:t>en endring ift. periodiseringsprinsippene i det gamle systemet, - der BOA-inntektene ble framstilt iht. innbetalings-/faktureringstidspunkt</w:t>
      </w:r>
    </w:p>
    <w:p w14:paraId="6E9DB51D" w14:textId="5902CE07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Prosjektene vil normalt ha nullresultat</w:t>
      </w:r>
    </w:p>
    <w:p w14:paraId="55D6FBC6" w14:textId="3233B7A6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Innbetalte, ikke opptjente BOA-midler vil ikke lenger være del av resultatregnskapet, men vil ligge som balanseposter</w:t>
      </w:r>
    </w:p>
    <w:p w14:paraId="45B60403" w14:textId="5CFFFC15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«Overført fra i fjor» og «Akkumulert saldo» vil ikke lenger være del av BOA-regnskapene</w:t>
      </w:r>
    </w:p>
    <w:p w14:paraId="2B3CFD58" w14:textId="5EC85057" w:rsidR="41B127CD" w:rsidRDefault="41B127CD" w:rsidP="50DFC1CA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Fordeler med det nye prinsippet er bl.a. at ikke-opptjente BOA-midler i mindre grad vil framstå som en form for «overskudd», det vil bli enklere å se samsvar mot resultatindikatorene og inntektsføringen vil være mer i tråd med allmenne regnskapsprinsipper</w:t>
      </w:r>
    </w:p>
    <w:p w14:paraId="1B583F14" w14:textId="791FAA11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 xml:space="preserve"> </w:t>
      </w:r>
    </w:p>
    <w:p w14:paraId="7E8185F6" w14:textId="353FB96D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UiO-bevilgning mai og juni</w:t>
      </w:r>
    </w:p>
    <w:p w14:paraId="47D5CAE2" w14:textId="1C911C53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 xml:space="preserve">Det ble i 2021 ikke overført UiO-bevilgning (KD-bevilgningen) til enhetene i mai. Bevilgningen både for mai og juni ble overført til fakultetene/enhetene i juni. Tidspunkt for intern viderefordeling av bevilgning ved fakultetene vil kunne variere. </w:t>
      </w:r>
    </w:p>
    <w:p w14:paraId="5C0A0A1A" w14:textId="466E4EBC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 xml:space="preserve"> </w:t>
      </w:r>
    </w:p>
    <w:p w14:paraId="71C32578" w14:textId="1589D76C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Internhusleie mai og juni</w:t>
      </w:r>
    </w:p>
    <w:p w14:paraId="0FC1E614" w14:textId="533DD877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</w:rPr>
        <w:t xml:space="preserve">Enhetene ble i 2021 ikke belastet internhusleie i mai. Internhusleie for både mai og juni ble belastet enhetene i juni. Tidspunkt og prinsipper for intern </w:t>
      </w:r>
      <w:proofErr w:type="spellStart"/>
      <w:r w:rsidRPr="50DFC1CA">
        <w:rPr>
          <w:rFonts w:ascii="Calibri" w:eastAsia="Calibri" w:hAnsi="Calibri" w:cs="Calibri"/>
        </w:rPr>
        <w:t>viderebelastning</w:t>
      </w:r>
      <w:proofErr w:type="spellEnd"/>
      <w:r w:rsidRPr="50DFC1CA">
        <w:rPr>
          <w:rFonts w:ascii="Calibri" w:eastAsia="Calibri" w:hAnsi="Calibri" w:cs="Calibri"/>
        </w:rPr>
        <w:t xml:space="preserve"> ved fakultetene/enhetene vil kunne variere.</w:t>
      </w:r>
    </w:p>
    <w:p w14:paraId="7A58E051" w14:textId="41FC01CF" w:rsidR="41B127CD" w:rsidRDefault="41B127CD" w:rsidP="50DFC1CA">
      <w:pPr>
        <w:spacing w:line="257" w:lineRule="auto"/>
      </w:pPr>
      <w:r w:rsidRPr="50DFC1CA">
        <w:rPr>
          <w:rFonts w:ascii="Calibri" w:eastAsia="Calibri" w:hAnsi="Calibri" w:cs="Calibri"/>
          <w:b/>
          <w:bCs/>
        </w:rPr>
        <w:t xml:space="preserve"> </w:t>
      </w:r>
    </w:p>
    <w:p w14:paraId="2BCCF4F2" w14:textId="417E243B" w:rsidR="41B127CD" w:rsidRDefault="41B127CD" w:rsidP="50DFC1CA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Avsetning feriepenger og fleksitid</w:t>
      </w:r>
    </w:p>
    <w:p w14:paraId="7A918D2C" w14:textId="1B11B6A5" w:rsidR="50DFC1CA" w:rsidRDefault="41B127CD" w:rsidP="004B44FF">
      <w:pPr>
        <w:spacing w:line="257" w:lineRule="auto"/>
      </w:pPr>
      <w:r w:rsidRPr="50DFC1CA">
        <w:rPr>
          <w:rFonts w:ascii="Calibri" w:eastAsia="Calibri" w:hAnsi="Calibri" w:cs="Calibri"/>
        </w:rPr>
        <w:t xml:space="preserve">Balanseavsetning for feriepenger og plusstid har ved UiO tidligere blitt gjort på institusjonsnivå. I det nye systemet vil slike avsetninger gjøres automatisk mot koststedsnivå. Fakultetene vil bli kompensert for denne «merkostnaden». Belastning og kompensasjon for fleksitid ble postert i mai, mens belastning og </w:t>
      </w:r>
      <w:proofErr w:type="spellStart"/>
      <w:r w:rsidRPr="50DFC1CA">
        <w:rPr>
          <w:rFonts w:ascii="Calibri" w:eastAsia="Calibri" w:hAnsi="Calibri" w:cs="Calibri"/>
        </w:rPr>
        <w:t>kompenasjon</w:t>
      </w:r>
      <w:proofErr w:type="spellEnd"/>
      <w:r w:rsidRPr="50DFC1CA">
        <w:rPr>
          <w:rFonts w:ascii="Calibri" w:eastAsia="Calibri" w:hAnsi="Calibri" w:cs="Calibri"/>
        </w:rPr>
        <w:t xml:space="preserve"> for feriepenger vil komme senere i 2021. Regnskapsseksjonen vil evt. kunne gi nærmere informasjon.</w:t>
      </w:r>
    </w:p>
    <w:sectPr w:rsidR="50DFC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B02C" w14:textId="77777777" w:rsidR="0065767D" w:rsidRDefault="0065767D" w:rsidP="00483A20">
      <w:pPr>
        <w:spacing w:after="0" w:line="240" w:lineRule="auto"/>
      </w:pPr>
      <w:r>
        <w:separator/>
      </w:r>
    </w:p>
  </w:endnote>
  <w:endnote w:type="continuationSeparator" w:id="0">
    <w:p w14:paraId="50A75F9D" w14:textId="77777777" w:rsidR="0065767D" w:rsidRDefault="0065767D" w:rsidP="0048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38E1" w14:textId="77777777" w:rsidR="0065767D" w:rsidRDefault="0065767D" w:rsidP="00483A20">
      <w:pPr>
        <w:spacing w:after="0" w:line="240" w:lineRule="auto"/>
      </w:pPr>
      <w:r>
        <w:separator/>
      </w:r>
    </w:p>
  </w:footnote>
  <w:footnote w:type="continuationSeparator" w:id="0">
    <w:p w14:paraId="1877F878" w14:textId="77777777" w:rsidR="0065767D" w:rsidRDefault="0065767D" w:rsidP="0048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C1D"/>
    <w:multiLevelType w:val="hybridMultilevel"/>
    <w:tmpl w:val="82ACA398"/>
    <w:lvl w:ilvl="0" w:tplc="24AE81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4BB"/>
    <w:multiLevelType w:val="hybridMultilevel"/>
    <w:tmpl w:val="51909728"/>
    <w:lvl w:ilvl="0" w:tplc="DF9E4E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61D"/>
    <w:multiLevelType w:val="hybridMultilevel"/>
    <w:tmpl w:val="CD3E4026"/>
    <w:lvl w:ilvl="0" w:tplc="CAB07E4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BF1"/>
    <w:multiLevelType w:val="hybridMultilevel"/>
    <w:tmpl w:val="2D1E5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6521"/>
    <w:multiLevelType w:val="hybridMultilevel"/>
    <w:tmpl w:val="14AECBA2"/>
    <w:lvl w:ilvl="0" w:tplc="B2E0B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AC8"/>
    <w:multiLevelType w:val="hybridMultilevel"/>
    <w:tmpl w:val="DC66D660"/>
    <w:lvl w:ilvl="0" w:tplc="5DDAC9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65B8"/>
    <w:multiLevelType w:val="hybridMultilevel"/>
    <w:tmpl w:val="7C78A192"/>
    <w:lvl w:ilvl="0" w:tplc="13CC00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3524"/>
    <w:multiLevelType w:val="hybridMultilevel"/>
    <w:tmpl w:val="A648BDF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F1093"/>
    <w:multiLevelType w:val="hybridMultilevel"/>
    <w:tmpl w:val="8472A246"/>
    <w:lvl w:ilvl="0" w:tplc="E0BE6F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6F8A"/>
    <w:multiLevelType w:val="hybridMultilevel"/>
    <w:tmpl w:val="7C682196"/>
    <w:lvl w:ilvl="0" w:tplc="13CC00F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14843"/>
    <w:multiLevelType w:val="hybridMultilevel"/>
    <w:tmpl w:val="12D24E3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7F56"/>
    <w:multiLevelType w:val="hybridMultilevel"/>
    <w:tmpl w:val="C60C5628"/>
    <w:lvl w:ilvl="0" w:tplc="99283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68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83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3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0E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D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CA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8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7A17"/>
    <w:multiLevelType w:val="hybridMultilevel"/>
    <w:tmpl w:val="4078BE90"/>
    <w:lvl w:ilvl="0" w:tplc="3182C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368F9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C64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5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28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7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8B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09"/>
    <w:rsid w:val="00000705"/>
    <w:rsid w:val="00002665"/>
    <w:rsid w:val="00003D82"/>
    <w:rsid w:val="00003DD1"/>
    <w:rsid w:val="00004FFC"/>
    <w:rsid w:val="000059D8"/>
    <w:rsid w:val="00007F07"/>
    <w:rsid w:val="00013EFD"/>
    <w:rsid w:val="00014430"/>
    <w:rsid w:val="00016720"/>
    <w:rsid w:val="000169F4"/>
    <w:rsid w:val="000231F9"/>
    <w:rsid w:val="0002384F"/>
    <w:rsid w:val="0002795B"/>
    <w:rsid w:val="00031A35"/>
    <w:rsid w:val="00036F37"/>
    <w:rsid w:val="00042A7A"/>
    <w:rsid w:val="00042D4D"/>
    <w:rsid w:val="00043B52"/>
    <w:rsid w:val="000465B7"/>
    <w:rsid w:val="00047871"/>
    <w:rsid w:val="00051620"/>
    <w:rsid w:val="000518B0"/>
    <w:rsid w:val="00054B2E"/>
    <w:rsid w:val="00056A55"/>
    <w:rsid w:val="00057337"/>
    <w:rsid w:val="0006225D"/>
    <w:rsid w:val="00062A76"/>
    <w:rsid w:val="00062F53"/>
    <w:rsid w:val="000664DD"/>
    <w:rsid w:val="00066FD5"/>
    <w:rsid w:val="00071B76"/>
    <w:rsid w:val="000747F5"/>
    <w:rsid w:val="00075B7F"/>
    <w:rsid w:val="00080B0E"/>
    <w:rsid w:val="0008123A"/>
    <w:rsid w:val="0008298F"/>
    <w:rsid w:val="000838D7"/>
    <w:rsid w:val="00083B68"/>
    <w:rsid w:val="00084EA7"/>
    <w:rsid w:val="00086D57"/>
    <w:rsid w:val="00095010"/>
    <w:rsid w:val="00097F50"/>
    <w:rsid w:val="000A0000"/>
    <w:rsid w:val="000A068C"/>
    <w:rsid w:val="000A2FE9"/>
    <w:rsid w:val="000A41C4"/>
    <w:rsid w:val="000B1569"/>
    <w:rsid w:val="000B3347"/>
    <w:rsid w:val="000C0300"/>
    <w:rsid w:val="000C4AA2"/>
    <w:rsid w:val="000C54C7"/>
    <w:rsid w:val="000C5528"/>
    <w:rsid w:val="000C57B8"/>
    <w:rsid w:val="000D0DBD"/>
    <w:rsid w:val="000D0ECF"/>
    <w:rsid w:val="000D55BB"/>
    <w:rsid w:val="000D5A59"/>
    <w:rsid w:val="000D5BE8"/>
    <w:rsid w:val="000E1235"/>
    <w:rsid w:val="000E1F4A"/>
    <w:rsid w:val="000E4F33"/>
    <w:rsid w:val="000F059A"/>
    <w:rsid w:val="000F28AF"/>
    <w:rsid w:val="000F2FA5"/>
    <w:rsid w:val="000F3163"/>
    <w:rsid w:val="000F3C3D"/>
    <w:rsid w:val="000F6E87"/>
    <w:rsid w:val="000F7E14"/>
    <w:rsid w:val="001071DC"/>
    <w:rsid w:val="001144CE"/>
    <w:rsid w:val="00116E72"/>
    <w:rsid w:val="001217BC"/>
    <w:rsid w:val="00121D0F"/>
    <w:rsid w:val="00123D1D"/>
    <w:rsid w:val="001249FC"/>
    <w:rsid w:val="00124AA0"/>
    <w:rsid w:val="001262B0"/>
    <w:rsid w:val="001331FB"/>
    <w:rsid w:val="001332E9"/>
    <w:rsid w:val="00135964"/>
    <w:rsid w:val="00136B66"/>
    <w:rsid w:val="00140609"/>
    <w:rsid w:val="00141550"/>
    <w:rsid w:val="0014298D"/>
    <w:rsid w:val="001525BD"/>
    <w:rsid w:val="00154D55"/>
    <w:rsid w:val="00155C7D"/>
    <w:rsid w:val="00165417"/>
    <w:rsid w:val="00166048"/>
    <w:rsid w:val="00170321"/>
    <w:rsid w:val="0017085E"/>
    <w:rsid w:val="00174D09"/>
    <w:rsid w:val="00180A67"/>
    <w:rsid w:val="00180B6E"/>
    <w:rsid w:val="00182433"/>
    <w:rsid w:val="00183F68"/>
    <w:rsid w:val="00187390"/>
    <w:rsid w:val="001929E8"/>
    <w:rsid w:val="00194CA2"/>
    <w:rsid w:val="00195A29"/>
    <w:rsid w:val="001A0B12"/>
    <w:rsid w:val="001A7EC6"/>
    <w:rsid w:val="001B3E51"/>
    <w:rsid w:val="001B3F8C"/>
    <w:rsid w:val="001B40A7"/>
    <w:rsid w:val="001C07EE"/>
    <w:rsid w:val="001C3DA9"/>
    <w:rsid w:val="001C5E39"/>
    <w:rsid w:val="001C662C"/>
    <w:rsid w:val="001C6D8B"/>
    <w:rsid w:val="001C7AB6"/>
    <w:rsid w:val="001D0D3C"/>
    <w:rsid w:val="001D1802"/>
    <w:rsid w:val="001D1DC5"/>
    <w:rsid w:val="001D75F7"/>
    <w:rsid w:val="001D7D4A"/>
    <w:rsid w:val="001E10C4"/>
    <w:rsid w:val="001E35F2"/>
    <w:rsid w:val="001E5684"/>
    <w:rsid w:val="001F0C41"/>
    <w:rsid w:val="001F1160"/>
    <w:rsid w:val="001F186A"/>
    <w:rsid w:val="001F2068"/>
    <w:rsid w:val="001F2866"/>
    <w:rsid w:val="001F3E9A"/>
    <w:rsid w:val="001F5FDE"/>
    <w:rsid w:val="001F7582"/>
    <w:rsid w:val="00200033"/>
    <w:rsid w:val="00200F91"/>
    <w:rsid w:val="00203C2D"/>
    <w:rsid w:val="002051EC"/>
    <w:rsid w:val="002054AF"/>
    <w:rsid w:val="00206DB9"/>
    <w:rsid w:val="002072FD"/>
    <w:rsid w:val="00210399"/>
    <w:rsid w:val="00210526"/>
    <w:rsid w:val="00211FA4"/>
    <w:rsid w:val="0021245D"/>
    <w:rsid w:val="00214DCD"/>
    <w:rsid w:val="00217AAE"/>
    <w:rsid w:val="00220851"/>
    <w:rsid w:val="00222035"/>
    <w:rsid w:val="00223946"/>
    <w:rsid w:val="00225B34"/>
    <w:rsid w:val="00227B96"/>
    <w:rsid w:val="002308A9"/>
    <w:rsid w:val="00230D9D"/>
    <w:rsid w:val="00231DE2"/>
    <w:rsid w:val="002357E1"/>
    <w:rsid w:val="0023641D"/>
    <w:rsid w:val="002378C1"/>
    <w:rsid w:val="00240A4D"/>
    <w:rsid w:val="002426B5"/>
    <w:rsid w:val="00243E31"/>
    <w:rsid w:val="00246992"/>
    <w:rsid w:val="00251F39"/>
    <w:rsid w:val="00252107"/>
    <w:rsid w:val="00253FAB"/>
    <w:rsid w:val="0025401D"/>
    <w:rsid w:val="00254BD9"/>
    <w:rsid w:val="00256A6F"/>
    <w:rsid w:val="002576DE"/>
    <w:rsid w:val="0025786F"/>
    <w:rsid w:val="002602C0"/>
    <w:rsid w:val="002606B9"/>
    <w:rsid w:val="002607A2"/>
    <w:rsid w:val="0026109B"/>
    <w:rsid w:val="00261195"/>
    <w:rsid w:val="00265563"/>
    <w:rsid w:val="00267E37"/>
    <w:rsid w:val="00270009"/>
    <w:rsid w:val="00270BD7"/>
    <w:rsid w:val="00271E74"/>
    <w:rsid w:val="00281C85"/>
    <w:rsid w:val="002856B0"/>
    <w:rsid w:val="00287995"/>
    <w:rsid w:val="002935E6"/>
    <w:rsid w:val="00297EAC"/>
    <w:rsid w:val="002A1F47"/>
    <w:rsid w:val="002A352A"/>
    <w:rsid w:val="002A442D"/>
    <w:rsid w:val="002A5439"/>
    <w:rsid w:val="002A65E7"/>
    <w:rsid w:val="002B002B"/>
    <w:rsid w:val="002B0B6D"/>
    <w:rsid w:val="002B6C09"/>
    <w:rsid w:val="002C0C07"/>
    <w:rsid w:val="002C7DA6"/>
    <w:rsid w:val="002D2697"/>
    <w:rsid w:val="002D4438"/>
    <w:rsid w:val="002D5A70"/>
    <w:rsid w:val="002E0B50"/>
    <w:rsid w:val="002E0E14"/>
    <w:rsid w:val="002E13A6"/>
    <w:rsid w:val="002E5EB5"/>
    <w:rsid w:val="002F27EB"/>
    <w:rsid w:val="002F4C2D"/>
    <w:rsid w:val="00300D0B"/>
    <w:rsid w:val="0030363E"/>
    <w:rsid w:val="00304978"/>
    <w:rsid w:val="003057B5"/>
    <w:rsid w:val="003146C3"/>
    <w:rsid w:val="003152C2"/>
    <w:rsid w:val="003225D2"/>
    <w:rsid w:val="0032279C"/>
    <w:rsid w:val="00323A73"/>
    <w:rsid w:val="00323B0C"/>
    <w:rsid w:val="00324B28"/>
    <w:rsid w:val="0032594E"/>
    <w:rsid w:val="003259E5"/>
    <w:rsid w:val="003273E5"/>
    <w:rsid w:val="003275E5"/>
    <w:rsid w:val="0033045B"/>
    <w:rsid w:val="00337CA7"/>
    <w:rsid w:val="00341CD5"/>
    <w:rsid w:val="00341DD4"/>
    <w:rsid w:val="003458FF"/>
    <w:rsid w:val="00347163"/>
    <w:rsid w:val="00351FBC"/>
    <w:rsid w:val="003520D9"/>
    <w:rsid w:val="003569A4"/>
    <w:rsid w:val="00361671"/>
    <w:rsid w:val="003632D5"/>
    <w:rsid w:val="00365CE9"/>
    <w:rsid w:val="00367017"/>
    <w:rsid w:val="003720E8"/>
    <w:rsid w:val="00383626"/>
    <w:rsid w:val="00383994"/>
    <w:rsid w:val="00384228"/>
    <w:rsid w:val="00384429"/>
    <w:rsid w:val="003854FD"/>
    <w:rsid w:val="003858E3"/>
    <w:rsid w:val="00390836"/>
    <w:rsid w:val="00390B46"/>
    <w:rsid w:val="00391AA2"/>
    <w:rsid w:val="00392881"/>
    <w:rsid w:val="00392D3B"/>
    <w:rsid w:val="003A084D"/>
    <w:rsid w:val="003A0FF1"/>
    <w:rsid w:val="003A1170"/>
    <w:rsid w:val="003A57D3"/>
    <w:rsid w:val="003A67F9"/>
    <w:rsid w:val="003A6C0E"/>
    <w:rsid w:val="003A7B85"/>
    <w:rsid w:val="003B0FF0"/>
    <w:rsid w:val="003B5D2E"/>
    <w:rsid w:val="003B76C8"/>
    <w:rsid w:val="003B7A71"/>
    <w:rsid w:val="003B7E03"/>
    <w:rsid w:val="003C0E78"/>
    <w:rsid w:val="003C3F9A"/>
    <w:rsid w:val="003C4160"/>
    <w:rsid w:val="003C7C9B"/>
    <w:rsid w:val="003D3952"/>
    <w:rsid w:val="003D6642"/>
    <w:rsid w:val="003E4E73"/>
    <w:rsid w:val="003E599E"/>
    <w:rsid w:val="003E6508"/>
    <w:rsid w:val="003F4AD4"/>
    <w:rsid w:val="003F5DDF"/>
    <w:rsid w:val="00400CB3"/>
    <w:rsid w:val="00400D11"/>
    <w:rsid w:val="00401041"/>
    <w:rsid w:val="00404D5E"/>
    <w:rsid w:val="004056D2"/>
    <w:rsid w:val="00410AAE"/>
    <w:rsid w:val="00411D87"/>
    <w:rsid w:val="0041391B"/>
    <w:rsid w:val="004148CF"/>
    <w:rsid w:val="00415886"/>
    <w:rsid w:val="00416164"/>
    <w:rsid w:val="00416515"/>
    <w:rsid w:val="00417BF1"/>
    <w:rsid w:val="00422751"/>
    <w:rsid w:val="00423B4E"/>
    <w:rsid w:val="0042490C"/>
    <w:rsid w:val="004259F7"/>
    <w:rsid w:val="0042661F"/>
    <w:rsid w:val="00434DE9"/>
    <w:rsid w:val="00435363"/>
    <w:rsid w:val="00441862"/>
    <w:rsid w:val="00441EC3"/>
    <w:rsid w:val="004451B4"/>
    <w:rsid w:val="004459E2"/>
    <w:rsid w:val="00446DEB"/>
    <w:rsid w:val="0046060D"/>
    <w:rsid w:val="00463029"/>
    <w:rsid w:val="00463E11"/>
    <w:rsid w:val="0046719B"/>
    <w:rsid w:val="00472D7A"/>
    <w:rsid w:val="0047300E"/>
    <w:rsid w:val="00473CB8"/>
    <w:rsid w:val="00473E4B"/>
    <w:rsid w:val="0047508E"/>
    <w:rsid w:val="00477992"/>
    <w:rsid w:val="00480E25"/>
    <w:rsid w:val="00481FA0"/>
    <w:rsid w:val="00482CF2"/>
    <w:rsid w:val="00483A20"/>
    <w:rsid w:val="00483CAB"/>
    <w:rsid w:val="004845C6"/>
    <w:rsid w:val="00484A3E"/>
    <w:rsid w:val="00490716"/>
    <w:rsid w:val="0049185D"/>
    <w:rsid w:val="00492329"/>
    <w:rsid w:val="004958E5"/>
    <w:rsid w:val="00496A23"/>
    <w:rsid w:val="004A4C1D"/>
    <w:rsid w:val="004A4C89"/>
    <w:rsid w:val="004A501B"/>
    <w:rsid w:val="004A5672"/>
    <w:rsid w:val="004A7753"/>
    <w:rsid w:val="004B08D3"/>
    <w:rsid w:val="004B2101"/>
    <w:rsid w:val="004B44FF"/>
    <w:rsid w:val="004B6502"/>
    <w:rsid w:val="004C1847"/>
    <w:rsid w:val="004C3862"/>
    <w:rsid w:val="004C3A54"/>
    <w:rsid w:val="004C5B87"/>
    <w:rsid w:val="004C6318"/>
    <w:rsid w:val="004D05F7"/>
    <w:rsid w:val="004D647D"/>
    <w:rsid w:val="004E147C"/>
    <w:rsid w:val="004E70D0"/>
    <w:rsid w:val="004F079E"/>
    <w:rsid w:val="004F11EC"/>
    <w:rsid w:val="004F4AA5"/>
    <w:rsid w:val="00500ABA"/>
    <w:rsid w:val="005014C0"/>
    <w:rsid w:val="00502683"/>
    <w:rsid w:val="00503B4F"/>
    <w:rsid w:val="00505238"/>
    <w:rsid w:val="00514619"/>
    <w:rsid w:val="00516C67"/>
    <w:rsid w:val="005170FC"/>
    <w:rsid w:val="00517E30"/>
    <w:rsid w:val="00521C83"/>
    <w:rsid w:val="00522AD3"/>
    <w:rsid w:val="005248CD"/>
    <w:rsid w:val="00527DE4"/>
    <w:rsid w:val="005345AD"/>
    <w:rsid w:val="005434F0"/>
    <w:rsid w:val="005469C7"/>
    <w:rsid w:val="005534AE"/>
    <w:rsid w:val="00553A83"/>
    <w:rsid w:val="00554C73"/>
    <w:rsid w:val="00555491"/>
    <w:rsid w:val="005554A5"/>
    <w:rsid w:val="0056094B"/>
    <w:rsid w:val="00572A25"/>
    <w:rsid w:val="00573CD1"/>
    <w:rsid w:val="00575381"/>
    <w:rsid w:val="0057751B"/>
    <w:rsid w:val="00581756"/>
    <w:rsid w:val="0058253F"/>
    <w:rsid w:val="00584AB9"/>
    <w:rsid w:val="005869CF"/>
    <w:rsid w:val="00586C80"/>
    <w:rsid w:val="00587C24"/>
    <w:rsid w:val="00596AA7"/>
    <w:rsid w:val="005979BE"/>
    <w:rsid w:val="005A2227"/>
    <w:rsid w:val="005A22D2"/>
    <w:rsid w:val="005A48BF"/>
    <w:rsid w:val="005B201F"/>
    <w:rsid w:val="005B7C3C"/>
    <w:rsid w:val="005C0AE6"/>
    <w:rsid w:val="005C1498"/>
    <w:rsid w:val="005C3D06"/>
    <w:rsid w:val="005C499B"/>
    <w:rsid w:val="005D2302"/>
    <w:rsid w:val="005D367D"/>
    <w:rsid w:val="005D3D3E"/>
    <w:rsid w:val="005D583E"/>
    <w:rsid w:val="005D612A"/>
    <w:rsid w:val="005E0E3F"/>
    <w:rsid w:val="005E1139"/>
    <w:rsid w:val="005E354A"/>
    <w:rsid w:val="005F02F5"/>
    <w:rsid w:val="005F3D77"/>
    <w:rsid w:val="005F450D"/>
    <w:rsid w:val="005F74F7"/>
    <w:rsid w:val="00600581"/>
    <w:rsid w:val="00601327"/>
    <w:rsid w:val="00603CB9"/>
    <w:rsid w:val="00604896"/>
    <w:rsid w:val="006051C4"/>
    <w:rsid w:val="00605EB1"/>
    <w:rsid w:val="00606EF0"/>
    <w:rsid w:val="00607CC9"/>
    <w:rsid w:val="00610368"/>
    <w:rsid w:val="00610E08"/>
    <w:rsid w:val="0061138A"/>
    <w:rsid w:val="00611F24"/>
    <w:rsid w:val="00615251"/>
    <w:rsid w:val="006251EF"/>
    <w:rsid w:val="00631B1A"/>
    <w:rsid w:val="00632316"/>
    <w:rsid w:val="00645E49"/>
    <w:rsid w:val="00645FA2"/>
    <w:rsid w:val="00647108"/>
    <w:rsid w:val="00654BC8"/>
    <w:rsid w:val="006555CA"/>
    <w:rsid w:val="00655D51"/>
    <w:rsid w:val="00656DE6"/>
    <w:rsid w:val="006572E6"/>
    <w:rsid w:val="0065767D"/>
    <w:rsid w:val="006708EB"/>
    <w:rsid w:val="006772C6"/>
    <w:rsid w:val="006820A2"/>
    <w:rsid w:val="006910C3"/>
    <w:rsid w:val="00691148"/>
    <w:rsid w:val="0069170B"/>
    <w:rsid w:val="006919DA"/>
    <w:rsid w:val="00692DF2"/>
    <w:rsid w:val="00692E3E"/>
    <w:rsid w:val="00693785"/>
    <w:rsid w:val="00693F03"/>
    <w:rsid w:val="00695043"/>
    <w:rsid w:val="00695789"/>
    <w:rsid w:val="006A0C09"/>
    <w:rsid w:val="006A4427"/>
    <w:rsid w:val="006A4625"/>
    <w:rsid w:val="006A5444"/>
    <w:rsid w:val="006A6A5F"/>
    <w:rsid w:val="006A7A8C"/>
    <w:rsid w:val="006A7E8F"/>
    <w:rsid w:val="006B1FF1"/>
    <w:rsid w:val="006B4FEF"/>
    <w:rsid w:val="006B64AF"/>
    <w:rsid w:val="006B6B91"/>
    <w:rsid w:val="006C0184"/>
    <w:rsid w:val="006C0357"/>
    <w:rsid w:val="006C31B0"/>
    <w:rsid w:val="006C3CCF"/>
    <w:rsid w:val="006C7052"/>
    <w:rsid w:val="006D1594"/>
    <w:rsid w:val="006D1E0B"/>
    <w:rsid w:val="006D1E15"/>
    <w:rsid w:val="006D1F86"/>
    <w:rsid w:val="006D2EA9"/>
    <w:rsid w:val="006D30FB"/>
    <w:rsid w:val="006D4261"/>
    <w:rsid w:val="006D5E12"/>
    <w:rsid w:val="006D79FC"/>
    <w:rsid w:val="006E4B6F"/>
    <w:rsid w:val="006F08F1"/>
    <w:rsid w:val="006F1AEB"/>
    <w:rsid w:val="006F474E"/>
    <w:rsid w:val="006F562A"/>
    <w:rsid w:val="006F59F2"/>
    <w:rsid w:val="006F6A2F"/>
    <w:rsid w:val="00701CB7"/>
    <w:rsid w:val="00703623"/>
    <w:rsid w:val="0070400E"/>
    <w:rsid w:val="007070B0"/>
    <w:rsid w:val="0070764A"/>
    <w:rsid w:val="007138F3"/>
    <w:rsid w:val="00717D1F"/>
    <w:rsid w:val="00717E52"/>
    <w:rsid w:val="0072153E"/>
    <w:rsid w:val="00721E4A"/>
    <w:rsid w:val="00723043"/>
    <w:rsid w:val="00724168"/>
    <w:rsid w:val="0072724D"/>
    <w:rsid w:val="00727D64"/>
    <w:rsid w:val="007365D9"/>
    <w:rsid w:val="00736B41"/>
    <w:rsid w:val="007372D8"/>
    <w:rsid w:val="00737E0B"/>
    <w:rsid w:val="00741311"/>
    <w:rsid w:val="00745E68"/>
    <w:rsid w:val="00746BE7"/>
    <w:rsid w:val="00747BDC"/>
    <w:rsid w:val="00753578"/>
    <w:rsid w:val="007537FC"/>
    <w:rsid w:val="00755452"/>
    <w:rsid w:val="00756B57"/>
    <w:rsid w:val="00757B07"/>
    <w:rsid w:val="00760237"/>
    <w:rsid w:val="007606D2"/>
    <w:rsid w:val="00760AC9"/>
    <w:rsid w:val="00761583"/>
    <w:rsid w:val="00764914"/>
    <w:rsid w:val="00764E6B"/>
    <w:rsid w:val="00767383"/>
    <w:rsid w:val="00767627"/>
    <w:rsid w:val="00767B57"/>
    <w:rsid w:val="00770001"/>
    <w:rsid w:val="00773C20"/>
    <w:rsid w:val="00776B8D"/>
    <w:rsid w:val="00791172"/>
    <w:rsid w:val="00791D26"/>
    <w:rsid w:val="007A2862"/>
    <w:rsid w:val="007A4FED"/>
    <w:rsid w:val="007A5487"/>
    <w:rsid w:val="007A60B0"/>
    <w:rsid w:val="007A6D1E"/>
    <w:rsid w:val="007B02E6"/>
    <w:rsid w:val="007B102B"/>
    <w:rsid w:val="007B10F6"/>
    <w:rsid w:val="007B3C14"/>
    <w:rsid w:val="007B64B1"/>
    <w:rsid w:val="007B7847"/>
    <w:rsid w:val="007C5F05"/>
    <w:rsid w:val="007C7ACF"/>
    <w:rsid w:val="007D5DE8"/>
    <w:rsid w:val="007E23B9"/>
    <w:rsid w:val="007E438F"/>
    <w:rsid w:val="007F3A86"/>
    <w:rsid w:val="007F3B8B"/>
    <w:rsid w:val="007F59B9"/>
    <w:rsid w:val="007F7AC6"/>
    <w:rsid w:val="00803F2C"/>
    <w:rsid w:val="00804F80"/>
    <w:rsid w:val="00811545"/>
    <w:rsid w:val="00812ADC"/>
    <w:rsid w:val="00813B9D"/>
    <w:rsid w:val="00822E20"/>
    <w:rsid w:val="008316FD"/>
    <w:rsid w:val="00831CE3"/>
    <w:rsid w:val="008340FF"/>
    <w:rsid w:val="008343AB"/>
    <w:rsid w:val="008355C3"/>
    <w:rsid w:val="00835CD9"/>
    <w:rsid w:val="00837904"/>
    <w:rsid w:val="00841FAE"/>
    <w:rsid w:val="0084530E"/>
    <w:rsid w:val="00846733"/>
    <w:rsid w:val="00847BBD"/>
    <w:rsid w:val="00850EE4"/>
    <w:rsid w:val="008516D2"/>
    <w:rsid w:val="0085206B"/>
    <w:rsid w:val="0085355C"/>
    <w:rsid w:val="008536A9"/>
    <w:rsid w:val="008543DD"/>
    <w:rsid w:val="008552CC"/>
    <w:rsid w:val="00855722"/>
    <w:rsid w:val="00855E19"/>
    <w:rsid w:val="008617B9"/>
    <w:rsid w:val="0086330D"/>
    <w:rsid w:val="00863952"/>
    <w:rsid w:val="00863A40"/>
    <w:rsid w:val="00865A3D"/>
    <w:rsid w:val="008661CB"/>
    <w:rsid w:val="00867A4B"/>
    <w:rsid w:val="0087002B"/>
    <w:rsid w:val="00872291"/>
    <w:rsid w:val="008736A3"/>
    <w:rsid w:val="00873C59"/>
    <w:rsid w:val="00875AE7"/>
    <w:rsid w:val="00875E08"/>
    <w:rsid w:val="008764AA"/>
    <w:rsid w:val="008775B5"/>
    <w:rsid w:val="00880F57"/>
    <w:rsid w:val="00886A2C"/>
    <w:rsid w:val="00892D95"/>
    <w:rsid w:val="008935AF"/>
    <w:rsid w:val="00894DA3"/>
    <w:rsid w:val="0089675F"/>
    <w:rsid w:val="008971BB"/>
    <w:rsid w:val="008A099A"/>
    <w:rsid w:val="008A36F1"/>
    <w:rsid w:val="008A5FCA"/>
    <w:rsid w:val="008A60E7"/>
    <w:rsid w:val="008A7F35"/>
    <w:rsid w:val="008B01E8"/>
    <w:rsid w:val="008B2673"/>
    <w:rsid w:val="008B47CC"/>
    <w:rsid w:val="008B6C4C"/>
    <w:rsid w:val="008C0EE2"/>
    <w:rsid w:val="008C160B"/>
    <w:rsid w:val="008D0DA2"/>
    <w:rsid w:val="008D205E"/>
    <w:rsid w:val="008D37A7"/>
    <w:rsid w:val="008D4B4C"/>
    <w:rsid w:val="008D5A07"/>
    <w:rsid w:val="008D6F6C"/>
    <w:rsid w:val="008E421A"/>
    <w:rsid w:val="008E4380"/>
    <w:rsid w:val="008E513A"/>
    <w:rsid w:val="008F3D73"/>
    <w:rsid w:val="008F54DB"/>
    <w:rsid w:val="008F55ED"/>
    <w:rsid w:val="0090449D"/>
    <w:rsid w:val="00905174"/>
    <w:rsid w:val="00906038"/>
    <w:rsid w:val="009079B7"/>
    <w:rsid w:val="009102DD"/>
    <w:rsid w:val="00910D93"/>
    <w:rsid w:val="009145A5"/>
    <w:rsid w:val="0091659E"/>
    <w:rsid w:val="00917CAF"/>
    <w:rsid w:val="009216BD"/>
    <w:rsid w:val="00922DE9"/>
    <w:rsid w:val="00923800"/>
    <w:rsid w:val="0092459E"/>
    <w:rsid w:val="0092568D"/>
    <w:rsid w:val="00927350"/>
    <w:rsid w:val="0092742F"/>
    <w:rsid w:val="00930D57"/>
    <w:rsid w:val="00933C92"/>
    <w:rsid w:val="0093430A"/>
    <w:rsid w:val="0094218B"/>
    <w:rsid w:val="009450E9"/>
    <w:rsid w:val="00945AAD"/>
    <w:rsid w:val="00946027"/>
    <w:rsid w:val="00952FA3"/>
    <w:rsid w:val="009530A6"/>
    <w:rsid w:val="009578B3"/>
    <w:rsid w:val="00957A98"/>
    <w:rsid w:val="00960FF3"/>
    <w:rsid w:val="009616FE"/>
    <w:rsid w:val="00962974"/>
    <w:rsid w:val="00963CF3"/>
    <w:rsid w:val="00970395"/>
    <w:rsid w:val="009708EC"/>
    <w:rsid w:val="00970F95"/>
    <w:rsid w:val="00972FF7"/>
    <w:rsid w:val="0097534C"/>
    <w:rsid w:val="00976DDE"/>
    <w:rsid w:val="0098406E"/>
    <w:rsid w:val="0098668F"/>
    <w:rsid w:val="00986722"/>
    <w:rsid w:val="009871D8"/>
    <w:rsid w:val="0099600A"/>
    <w:rsid w:val="009A0AA0"/>
    <w:rsid w:val="009A1C47"/>
    <w:rsid w:val="009A1CF4"/>
    <w:rsid w:val="009A6B2B"/>
    <w:rsid w:val="009B33AC"/>
    <w:rsid w:val="009B5498"/>
    <w:rsid w:val="009C02ED"/>
    <w:rsid w:val="009C1BB2"/>
    <w:rsid w:val="009C7870"/>
    <w:rsid w:val="009D2B25"/>
    <w:rsid w:val="009E2AA8"/>
    <w:rsid w:val="009E463D"/>
    <w:rsid w:val="009E4E9D"/>
    <w:rsid w:val="009F01B6"/>
    <w:rsid w:val="009F34B4"/>
    <w:rsid w:val="009F6228"/>
    <w:rsid w:val="009F66EC"/>
    <w:rsid w:val="009F7B12"/>
    <w:rsid w:val="00A008FE"/>
    <w:rsid w:val="00A01BFB"/>
    <w:rsid w:val="00A037BF"/>
    <w:rsid w:val="00A03B6F"/>
    <w:rsid w:val="00A04D6F"/>
    <w:rsid w:val="00A0728B"/>
    <w:rsid w:val="00A11BCB"/>
    <w:rsid w:val="00A12DDF"/>
    <w:rsid w:val="00A1692D"/>
    <w:rsid w:val="00A173BD"/>
    <w:rsid w:val="00A2306B"/>
    <w:rsid w:val="00A2467E"/>
    <w:rsid w:val="00A24F78"/>
    <w:rsid w:val="00A25368"/>
    <w:rsid w:val="00A26344"/>
    <w:rsid w:val="00A30E7B"/>
    <w:rsid w:val="00A3170A"/>
    <w:rsid w:val="00A33356"/>
    <w:rsid w:val="00A333DA"/>
    <w:rsid w:val="00A33D95"/>
    <w:rsid w:val="00A33FCB"/>
    <w:rsid w:val="00A34A2C"/>
    <w:rsid w:val="00A34D62"/>
    <w:rsid w:val="00A40E2C"/>
    <w:rsid w:val="00A4214F"/>
    <w:rsid w:val="00A4400F"/>
    <w:rsid w:val="00A44915"/>
    <w:rsid w:val="00A45035"/>
    <w:rsid w:val="00A46115"/>
    <w:rsid w:val="00A56CF5"/>
    <w:rsid w:val="00A57966"/>
    <w:rsid w:val="00A61FD6"/>
    <w:rsid w:val="00A62EB5"/>
    <w:rsid w:val="00A645A9"/>
    <w:rsid w:val="00A679CF"/>
    <w:rsid w:val="00A76697"/>
    <w:rsid w:val="00A846D8"/>
    <w:rsid w:val="00A85C7C"/>
    <w:rsid w:val="00A93B20"/>
    <w:rsid w:val="00AA7F44"/>
    <w:rsid w:val="00AB0D9F"/>
    <w:rsid w:val="00AB0E8C"/>
    <w:rsid w:val="00AB4567"/>
    <w:rsid w:val="00AB524D"/>
    <w:rsid w:val="00AC09C3"/>
    <w:rsid w:val="00AC0A2B"/>
    <w:rsid w:val="00AC2AF6"/>
    <w:rsid w:val="00AC67F9"/>
    <w:rsid w:val="00AD0DB7"/>
    <w:rsid w:val="00AD2483"/>
    <w:rsid w:val="00AD4230"/>
    <w:rsid w:val="00AD5ADF"/>
    <w:rsid w:val="00AD5FA7"/>
    <w:rsid w:val="00AE2A92"/>
    <w:rsid w:val="00AE6089"/>
    <w:rsid w:val="00AF3529"/>
    <w:rsid w:val="00AF5F3F"/>
    <w:rsid w:val="00AF7368"/>
    <w:rsid w:val="00B00756"/>
    <w:rsid w:val="00B0087D"/>
    <w:rsid w:val="00B03DBE"/>
    <w:rsid w:val="00B043D5"/>
    <w:rsid w:val="00B069AD"/>
    <w:rsid w:val="00B06C9D"/>
    <w:rsid w:val="00B10150"/>
    <w:rsid w:val="00B11755"/>
    <w:rsid w:val="00B13A02"/>
    <w:rsid w:val="00B14B85"/>
    <w:rsid w:val="00B17477"/>
    <w:rsid w:val="00B2395B"/>
    <w:rsid w:val="00B23CF9"/>
    <w:rsid w:val="00B23D31"/>
    <w:rsid w:val="00B24ED5"/>
    <w:rsid w:val="00B2686C"/>
    <w:rsid w:val="00B31588"/>
    <w:rsid w:val="00B3401E"/>
    <w:rsid w:val="00B347EE"/>
    <w:rsid w:val="00B36342"/>
    <w:rsid w:val="00B402A8"/>
    <w:rsid w:val="00B40B6A"/>
    <w:rsid w:val="00B40F6B"/>
    <w:rsid w:val="00B42BDE"/>
    <w:rsid w:val="00B430A2"/>
    <w:rsid w:val="00B43CE2"/>
    <w:rsid w:val="00B43F15"/>
    <w:rsid w:val="00B45B52"/>
    <w:rsid w:val="00B45FA9"/>
    <w:rsid w:val="00B5026F"/>
    <w:rsid w:val="00B5089E"/>
    <w:rsid w:val="00B531FC"/>
    <w:rsid w:val="00B55947"/>
    <w:rsid w:val="00B56005"/>
    <w:rsid w:val="00B5772E"/>
    <w:rsid w:val="00B602D2"/>
    <w:rsid w:val="00B60A44"/>
    <w:rsid w:val="00B625FD"/>
    <w:rsid w:val="00B716F3"/>
    <w:rsid w:val="00B76087"/>
    <w:rsid w:val="00B80E98"/>
    <w:rsid w:val="00B81F67"/>
    <w:rsid w:val="00B85B1A"/>
    <w:rsid w:val="00B90000"/>
    <w:rsid w:val="00B962FE"/>
    <w:rsid w:val="00B9696A"/>
    <w:rsid w:val="00B9740C"/>
    <w:rsid w:val="00BA0292"/>
    <w:rsid w:val="00BA1D74"/>
    <w:rsid w:val="00BA226D"/>
    <w:rsid w:val="00BB12B6"/>
    <w:rsid w:val="00BB3A4E"/>
    <w:rsid w:val="00BB403E"/>
    <w:rsid w:val="00BC36E3"/>
    <w:rsid w:val="00BC43C4"/>
    <w:rsid w:val="00BC6973"/>
    <w:rsid w:val="00BC710C"/>
    <w:rsid w:val="00BD767C"/>
    <w:rsid w:val="00BE29EA"/>
    <w:rsid w:val="00BE2A92"/>
    <w:rsid w:val="00BE57E7"/>
    <w:rsid w:val="00BE5DE4"/>
    <w:rsid w:val="00BF1464"/>
    <w:rsid w:val="00BF26A6"/>
    <w:rsid w:val="00BF28EC"/>
    <w:rsid w:val="00BF65E7"/>
    <w:rsid w:val="00BF699F"/>
    <w:rsid w:val="00C000C5"/>
    <w:rsid w:val="00C0376A"/>
    <w:rsid w:val="00C14D53"/>
    <w:rsid w:val="00C22795"/>
    <w:rsid w:val="00C2519B"/>
    <w:rsid w:val="00C25D39"/>
    <w:rsid w:val="00C268A2"/>
    <w:rsid w:val="00C268FF"/>
    <w:rsid w:val="00C27013"/>
    <w:rsid w:val="00C27F05"/>
    <w:rsid w:val="00C44C8F"/>
    <w:rsid w:val="00C459E0"/>
    <w:rsid w:val="00C548B5"/>
    <w:rsid w:val="00C55D8A"/>
    <w:rsid w:val="00C56C90"/>
    <w:rsid w:val="00C6090D"/>
    <w:rsid w:val="00C654F5"/>
    <w:rsid w:val="00C6638B"/>
    <w:rsid w:val="00C7562A"/>
    <w:rsid w:val="00C832EB"/>
    <w:rsid w:val="00C84864"/>
    <w:rsid w:val="00C866DE"/>
    <w:rsid w:val="00C8754D"/>
    <w:rsid w:val="00C92766"/>
    <w:rsid w:val="00CA238B"/>
    <w:rsid w:val="00CA3355"/>
    <w:rsid w:val="00CA607B"/>
    <w:rsid w:val="00CA7BEC"/>
    <w:rsid w:val="00CB0125"/>
    <w:rsid w:val="00CB02D8"/>
    <w:rsid w:val="00CB2DF0"/>
    <w:rsid w:val="00CB4141"/>
    <w:rsid w:val="00CC5826"/>
    <w:rsid w:val="00CC5863"/>
    <w:rsid w:val="00CC66C4"/>
    <w:rsid w:val="00CC7822"/>
    <w:rsid w:val="00CD04E4"/>
    <w:rsid w:val="00CD2EC2"/>
    <w:rsid w:val="00CE0B71"/>
    <w:rsid w:val="00CE4FBC"/>
    <w:rsid w:val="00CE72E9"/>
    <w:rsid w:val="00CF6505"/>
    <w:rsid w:val="00CF6F1C"/>
    <w:rsid w:val="00D03F56"/>
    <w:rsid w:val="00D05E7B"/>
    <w:rsid w:val="00D11031"/>
    <w:rsid w:val="00D12889"/>
    <w:rsid w:val="00D131C3"/>
    <w:rsid w:val="00D16339"/>
    <w:rsid w:val="00D16627"/>
    <w:rsid w:val="00D22801"/>
    <w:rsid w:val="00D22CB8"/>
    <w:rsid w:val="00D247F3"/>
    <w:rsid w:val="00D25E82"/>
    <w:rsid w:val="00D2641C"/>
    <w:rsid w:val="00D300E2"/>
    <w:rsid w:val="00D30E36"/>
    <w:rsid w:val="00D31288"/>
    <w:rsid w:val="00D36B78"/>
    <w:rsid w:val="00D37104"/>
    <w:rsid w:val="00D419AF"/>
    <w:rsid w:val="00D44AF7"/>
    <w:rsid w:val="00D4572B"/>
    <w:rsid w:val="00D4639E"/>
    <w:rsid w:val="00D5270B"/>
    <w:rsid w:val="00D54CA5"/>
    <w:rsid w:val="00D5669E"/>
    <w:rsid w:val="00D57A9C"/>
    <w:rsid w:val="00D64083"/>
    <w:rsid w:val="00D709BE"/>
    <w:rsid w:val="00D712D0"/>
    <w:rsid w:val="00D7195C"/>
    <w:rsid w:val="00D71CA5"/>
    <w:rsid w:val="00D72B4F"/>
    <w:rsid w:val="00D72DD9"/>
    <w:rsid w:val="00D750EB"/>
    <w:rsid w:val="00D80E55"/>
    <w:rsid w:val="00D81868"/>
    <w:rsid w:val="00D81F9B"/>
    <w:rsid w:val="00D822C8"/>
    <w:rsid w:val="00D85178"/>
    <w:rsid w:val="00D86BE8"/>
    <w:rsid w:val="00D876A6"/>
    <w:rsid w:val="00D90567"/>
    <w:rsid w:val="00D93CEA"/>
    <w:rsid w:val="00D94050"/>
    <w:rsid w:val="00D9689E"/>
    <w:rsid w:val="00D9746D"/>
    <w:rsid w:val="00D97C03"/>
    <w:rsid w:val="00DA14DD"/>
    <w:rsid w:val="00DA2C2F"/>
    <w:rsid w:val="00DB15D6"/>
    <w:rsid w:val="00DB3812"/>
    <w:rsid w:val="00DC0A69"/>
    <w:rsid w:val="00DC53FB"/>
    <w:rsid w:val="00DC6B73"/>
    <w:rsid w:val="00DD0960"/>
    <w:rsid w:val="00DD5D75"/>
    <w:rsid w:val="00DD64E6"/>
    <w:rsid w:val="00DD6F76"/>
    <w:rsid w:val="00DD78E3"/>
    <w:rsid w:val="00DE4537"/>
    <w:rsid w:val="00DF0FC8"/>
    <w:rsid w:val="00DF53DF"/>
    <w:rsid w:val="00DF76D2"/>
    <w:rsid w:val="00E02B3D"/>
    <w:rsid w:val="00E03FE6"/>
    <w:rsid w:val="00E05DCC"/>
    <w:rsid w:val="00E060E9"/>
    <w:rsid w:val="00E1596C"/>
    <w:rsid w:val="00E15D49"/>
    <w:rsid w:val="00E21ADA"/>
    <w:rsid w:val="00E24357"/>
    <w:rsid w:val="00E25DF7"/>
    <w:rsid w:val="00E261FF"/>
    <w:rsid w:val="00E30D2F"/>
    <w:rsid w:val="00E30DEE"/>
    <w:rsid w:val="00E32CBC"/>
    <w:rsid w:val="00E33C6E"/>
    <w:rsid w:val="00E3414D"/>
    <w:rsid w:val="00E349D4"/>
    <w:rsid w:val="00E377DB"/>
    <w:rsid w:val="00E426D0"/>
    <w:rsid w:val="00E43828"/>
    <w:rsid w:val="00E43F0E"/>
    <w:rsid w:val="00E51421"/>
    <w:rsid w:val="00E5366B"/>
    <w:rsid w:val="00E56B81"/>
    <w:rsid w:val="00E610A8"/>
    <w:rsid w:val="00E66007"/>
    <w:rsid w:val="00E66758"/>
    <w:rsid w:val="00E672A7"/>
    <w:rsid w:val="00E679D0"/>
    <w:rsid w:val="00E71FBA"/>
    <w:rsid w:val="00E74640"/>
    <w:rsid w:val="00E75067"/>
    <w:rsid w:val="00E76F7B"/>
    <w:rsid w:val="00E839A9"/>
    <w:rsid w:val="00E845FA"/>
    <w:rsid w:val="00E84ED7"/>
    <w:rsid w:val="00E86AA6"/>
    <w:rsid w:val="00E879B5"/>
    <w:rsid w:val="00E93B33"/>
    <w:rsid w:val="00E948CB"/>
    <w:rsid w:val="00E957F8"/>
    <w:rsid w:val="00E9789F"/>
    <w:rsid w:val="00EA2065"/>
    <w:rsid w:val="00EA2BDC"/>
    <w:rsid w:val="00EA65FD"/>
    <w:rsid w:val="00EA6704"/>
    <w:rsid w:val="00EA7BBE"/>
    <w:rsid w:val="00EA7DFA"/>
    <w:rsid w:val="00EB5407"/>
    <w:rsid w:val="00EC1BC8"/>
    <w:rsid w:val="00EC3379"/>
    <w:rsid w:val="00EC353C"/>
    <w:rsid w:val="00EC5D5C"/>
    <w:rsid w:val="00EC6B1E"/>
    <w:rsid w:val="00ED630F"/>
    <w:rsid w:val="00ED688B"/>
    <w:rsid w:val="00ED72C4"/>
    <w:rsid w:val="00EE40DB"/>
    <w:rsid w:val="00EE6981"/>
    <w:rsid w:val="00EE7D01"/>
    <w:rsid w:val="00EF0654"/>
    <w:rsid w:val="00EF182E"/>
    <w:rsid w:val="00EF6CC6"/>
    <w:rsid w:val="00F01045"/>
    <w:rsid w:val="00F04BD4"/>
    <w:rsid w:val="00F06564"/>
    <w:rsid w:val="00F12BA1"/>
    <w:rsid w:val="00F133ED"/>
    <w:rsid w:val="00F13D16"/>
    <w:rsid w:val="00F161BD"/>
    <w:rsid w:val="00F23F25"/>
    <w:rsid w:val="00F24294"/>
    <w:rsid w:val="00F243A5"/>
    <w:rsid w:val="00F271BD"/>
    <w:rsid w:val="00F3038C"/>
    <w:rsid w:val="00F30AA8"/>
    <w:rsid w:val="00F316EE"/>
    <w:rsid w:val="00F32606"/>
    <w:rsid w:val="00F32F1A"/>
    <w:rsid w:val="00F341FA"/>
    <w:rsid w:val="00F35AAB"/>
    <w:rsid w:val="00F4036F"/>
    <w:rsid w:val="00F40594"/>
    <w:rsid w:val="00F42461"/>
    <w:rsid w:val="00F44101"/>
    <w:rsid w:val="00F4699C"/>
    <w:rsid w:val="00F474EF"/>
    <w:rsid w:val="00F477C2"/>
    <w:rsid w:val="00F479D0"/>
    <w:rsid w:val="00F5104C"/>
    <w:rsid w:val="00F52EB2"/>
    <w:rsid w:val="00F57DD8"/>
    <w:rsid w:val="00F60476"/>
    <w:rsid w:val="00F64581"/>
    <w:rsid w:val="00F67DD1"/>
    <w:rsid w:val="00F7073B"/>
    <w:rsid w:val="00F73F5B"/>
    <w:rsid w:val="00F75706"/>
    <w:rsid w:val="00F80AE2"/>
    <w:rsid w:val="00F83951"/>
    <w:rsid w:val="00F851CD"/>
    <w:rsid w:val="00F85929"/>
    <w:rsid w:val="00F8692F"/>
    <w:rsid w:val="00F90023"/>
    <w:rsid w:val="00F91339"/>
    <w:rsid w:val="00F91536"/>
    <w:rsid w:val="00F9405F"/>
    <w:rsid w:val="00F95A16"/>
    <w:rsid w:val="00FA24A6"/>
    <w:rsid w:val="00FA7604"/>
    <w:rsid w:val="00FA77BE"/>
    <w:rsid w:val="00FB0F1A"/>
    <w:rsid w:val="00FB4265"/>
    <w:rsid w:val="00FC2BB1"/>
    <w:rsid w:val="00FC42AD"/>
    <w:rsid w:val="00FD1D4A"/>
    <w:rsid w:val="00FD4526"/>
    <w:rsid w:val="00FD46FA"/>
    <w:rsid w:val="00FF3673"/>
    <w:rsid w:val="00FF59B0"/>
    <w:rsid w:val="00FF71FF"/>
    <w:rsid w:val="02CEC510"/>
    <w:rsid w:val="08BBB5A5"/>
    <w:rsid w:val="3E2CF20D"/>
    <w:rsid w:val="41B127CD"/>
    <w:rsid w:val="50DFC1CA"/>
    <w:rsid w:val="6A6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B5012"/>
  <w15:chartTrackingRefBased/>
  <w15:docId w15:val="{E1576FD0-AFA4-47F6-9F1D-30C0790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3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0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/>
      <w:sz w:val="40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1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75ABDD"/>
      <w:sz w:val="24"/>
      <w:u w:val="single"/>
      <w14:textFill>
        <w14:solidFill>
          <w14:srgbClr w14:val="75ABDD">
            <w14:lumMod w14:val="75000"/>
          </w14:srgbClr>
        </w14:solidFill>
      </w14:textFill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3A20"/>
  </w:style>
  <w:style w:type="paragraph" w:styleId="Bunntekst">
    <w:name w:val="footer"/>
    <w:basedOn w:val="Normal"/>
    <w:link w:val="BunntekstTegn"/>
    <w:uiPriority w:val="99"/>
    <w:unhideWhenUsed/>
    <w:rsid w:val="0048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3A20"/>
  </w:style>
  <w:style w:type="paragraph" w:styleId="Listeavsnitt">
    <w:name w:val="List Paragraph"/>
    <w:basedOn w:val="Normal"/>
    <w:uiPriority w:val="34"/>
    <w:qFormat/>
    <w:rsid w:val="00483A2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F3C3D"/>
    <w:rPr>
      <w:rFonts w:asciiTheme="majorHAnsi" w:eastAsiaTheme="majorEastAsia" w:hAnsiTheme="majorHAnsi" w:cstheme="majorBidi"/>
      <w:b/>
      <w:color w:val="1F4E79"/>
      <w:sz w:val="5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0B0E"/>
    <w:rPr>
      <w:rFonts w:asciiTheme="majorHAnsi" w:eastAsiaTheme="majorEastAsia" w:hAnsiTheme="majorHAnsi" w:cstheme="majorBidi"/>
      <w:b/>
      <w:bCs/>
      <w:color w:val="2E74B5"/>
      <w:sz w:val="40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1569"/>
    <w:rPr>
      <w:rFonts w:asciiTheme="majorHAnsi" w:eastAsiaTheme="majorEastAsia" w:hAnsiTheme="majorHAnsi" w:cstheme="majorBidi"/>
      <w:b/>
      <w:bCs/>
      <w:color w:val="75ABDD"/>
      <w:sz w:val="24"/>
      <w:u w:val="single"/>
      <w14:textFill>
        <w14:solidFill>
          <w14:srgbClr w14:val="75ABDD">
            <w14:lumMod w14:val="75000"/>
          </w14:srgbClr>
        </w14:solidFill>
      </w14:textFill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A238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A238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A238B"/>
    <w:rPr>
      <w:vertAlign w:val="superscript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C3A54"/>
    <w:pPr>
      <w:spacing w:after="200" w:line="240" w:lineRule="auto"/>
    </w:pPr>
    <w:rPr>
      <w:rFonts w:ascii="Verdana" w:eastAsia="Times New Roman" w:hAnsi="Verdana" w:cs="Times New Roman"/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A39113E23CFF4C932AF8A2377B78CA" ma:contentTypeVersion="2" ma:contentTypeDescription="Opprett et nytt dokument." ma:contentTypeScope="" ma:versionID="bbc1739bb02360bbf70b154c8f178369">
  <xsd:schema xmlns:xsd="http://www.w3.org/2001/XMLSchema" xmlns:xs="http://www.w3.org/2001/XMLSchema" xmlns:p="http://schemas.microsoft.com/office/2006/metadata/properties" xmlns:ns2="a3a7f95b-3ac4-485e-8a5a-c0989fae4cb1" targetNamespace="http://schemas.microsoft.com/office/2006/metadata/properties" ma:root="true" ma:fieldsID="a51183b56aec94a7865a2e15bbd76368" ns2:_="">
    <xsd:import namespace="a3a7f95b-3ac4-485e-8a5a-c0989fae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f95b-3ac4-485e-8a5a-c0989fae4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11910-F575-4459-8275-88576D839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F2570-C26A-4536-A802-7511A2007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43FE8-09E1-4F74-BF30-294377661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0F316-C9D6-4F4E-873A-E9009403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f95b-3ac4-485e-8a5a-c0989fae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Ottersen</dc:creator>
  <cp:keywords/>
  <dc:description/>
  <cp:lastModifiedBy>Jon Christian Ottersen</cp:lastModifiedBy>
  <cp:revision>2</cp:revision>
  <dcterms:created xsi:type="dcterms:W3CDTF">2021-10-24T18:03:00Z</dcterms:created>
  <dcterms:modified xsi:type="dcterms:W3CDTF">2021-10-24T18:03:00Z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0x01010055A39113E23CFF4C932AF8A2377B78CA</vt:lpwstr>
  </property>
</Properties>
</file>