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text" w:horzAnchor="margin" w:tblpY="-168"/>
        <w:tblOverlap w:val="never"/>
        <w:tblW w:w="10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7"/>
      </w:tblGrid>
      <w:tr w:rsidR="00465FF3" w14:paraId="759FB202" w14:textId="77777777" w:rsidTr="00465FF3">
        <w:trPr>
          <w:trHeight w:val="477"/>
        </w:trPr>
        <w:tc>
          <w:tcPr>
            <w:tcW w:w="10527" w:type="dxa"/>
            <w:vAlign w:val="center"/>
            <w:hideMark/>
          </w:tcPr>
          <w:p w14:paraId="738FFB11" w14:textId="77777777" w:rsidR="00465FF3" w:rsidRDefault="00465FF3" w:rsidP="00465FF3">
            <w:pPr>
              <w:pStyle w:val="Georgia11spacing0after"/>
              <w:rPr>
                <w:sz w:val="26"/>
                <w:szCs w:val="26"/>
                <w:lang w:eastAsia="nb-NO"/>
              </w:rPr>
            </w:pPr>
            <w:r>
              <w:rPr>
                <w:b/>
                <w:sz w:val="26"/>
                <w:szCs w:val="26"/>
                <w:lang w:eastAsia="nb-NO"/>
              </w:rPr>
              <w:t>EKSAMENSOPPGAVE</w:t>
            </w:r>
          </w:p>
        </w:tc>
      </w:tr>
      <w:tr w:rsidR="00465FF3" w14:paraId="29EF36CD" w14:textId="77777777" w:rsidTr="00465FF3">
        <w:trPr>
          <w:trHeight w:val="709"/>
        </w:trPr>
        <w:tc>
          <w:tcPr>
            <w:tcW w:w="10527" w:type="dxa"/>
            <w:vAlign w:val="center"/>
            <w:hideMark/>
          </w:tcPr>
          <w:p w14:paraId="0A7CFA3B" w14:textId="34506020" w:rsidR="00465FF3" w:rsidRDefault="00465FF3" w:rsidP="00465FF3">
            <w:pPr>
              <w:pStyle w:val="Georgia11spacing0after"/>
              <w:rPr>
                <w:b/>
                <w:sz w:val="20"/>
                <w:szCs w:val="20"/>
                <w:lang w:eastAsia="nb-NO"/>
              </w:rPr>
            </w:pPr>
            <w:r>
              <w:rPr>
                <w:b/>
                <w:sz w:val="20"/>
                <w:szCs w:val="20"/>
                <w:lang w:eastAsia="nb-NO"/>
              </w:rPr>
              <w:t>JUS</w:t>
            </w:r>
            <w:r w:rsidR="00332449">
              <w:rPr>
                <w:b/>
                <w:sz w:val="20"/>
                <w:szCs w:val="20"/>
                <w:lang w:eastAsia="nb-NO"/>
              </w:rPr>
              <w:t>3112</w:t>
            </w:r>
            <w:r>
              <w:rPr>
                <w:b/>
                <w:sz w:val="20"/>
                <w:szCs w:val="20"/>
                <w:lang w:eastAsia="nb-NO"/>
              </w:rPr>
              <w:t xml:space="preserve"> – </w:t>
            </w:r>
            <w:r w:rsidR="00332449">
              <w:rPr>
                <w:b/>
                <w:sz w:val="20"/>
                <w:szCs w:val="20"/>
                <w:lang w:eastAsia="nb-NO"/>
              </w:rPr>
              <w:t>Formuerett I</w:t>
            </w:r>
          </w:p>
          <w:p w14:paraId="77985484" w14:textId="5C7C4B3F" w:rsidR="00465FF3" w:rsidRDefault="00332449" w:rsidP="00465FF3">
            <w:pPr>
              <w:pStyle w:val="Georgia11spacing0after"/>
              <w:rPr>
                <w:b/>
                <w:sz w:val="20"/>
                <w:szCs w:val="20"/>
                <w:lang w:eastAsia="nb-NO"/>
              </w:rPr>
            </w:pPr>
            <w:r>
              <w:rPr>
                <w:b/>
                <w:sz w:val="20"/>
                <w:szCs w:val="20"/>
                <w:lang w:eastAsia="nb-NO"/>
              </w:rPr>
              <w:t>Vår 2023</w:t>
            </w:r>
          </w:p>
        </w:tc>
      </w:tr>
      <w:tr w:rsidR="00332449" w14:paraId="70E8825F" w14:textId="77777777" w:rsidTr="00862621">
        <w:trPr>
          <w:trHeight w:val="237"/>
        </w:trPr>
        <w:tc>
          <w:tcPr>
            <w:tcW w:w="10527" w:type="dxa"/>
            <w:vAlign w:val="center"/>
            <w:hideMark/>
          </w:tcPr>
          <w:p w14:paraId="436ABD2F" w14:textId="73674E2F" w:rsidR="00332449" w:rsidRDefault="00332449" w:rsidP="00465FF3">
            <w:pPr>
              <w:pStyle w:val="Georgia11spacing0after"/>
              <w:rPr>
                <w:sz w:val="20"/>
                <w:szCs w:val="20"/>
                <w:lang w:eastAsia="nb-NO"/>
              </w:rPr>
            </w:pPr>
            <w:r>
              <w:rPr>
                <w:sz w:val="20"/>
                <w:szCs w:val="20"/>
                <w:lang w:eastAsia="nb-NO"/>
              </w:rPr>
              <w:t>Dato: 14.06.2023</w:t>
            </w:r>
          </w:p>
        </w:tc>
      </w:tr>
      <w:tr w:rsidR="00332449" w14:paraId="2D8C91F2" w14:textId="77777777" w:rsidTr="00C75737">
        <w:trPr>
          <w:trHeight w:val="237"/>
        </w:trPr>
        <w:tc>
          <w:tcPr>
            <w:tcW w:w="10527" w:type="dxa"/>
            <w:tcBorders>
              <w:top w:val="nil"/>
              <w:left w:val="nil"/>
              <w:bottom w:val="single" w:sz="4" w:space="0" w:color="auto"/>
              <w:right w:val="nil"/>
            </w:tcBorders>
            <w:vAlign w:val="center"/>
            <w:hideMark/>
          </w:tcPr>
          <w:p w14:paraId="4A6C0870" w14:textId="372FC4FC" w:rsidR="00332449" w:rsidRDefault="00332449" w:rsidP="00465FF3">
            <w:pPr>
              <w:pStyle w:val="Georgia11spacing0after"/>
              <w:rPr>
                <w:sz w:val="20"/>
                <w:szCs w:val="20"/>
                <w:lang w:eastAsia="nb-NO"/>
              </w:rPr>
            </w:pPr>
            <w:r>
              <w:rPr>
                <w:sz w:val="20"/>
                <w:szCs w:val="20"/>
                <w:lang w:eastAsia="nb-NO"/>
              </w:rPr>
              <w:t>Tid: 09:00-15:00</w:t>
            </w:r>
          </w:p>
        </w:tc>
      </w:tr>
    </w:tbl>
    <w:p w14:paraId="1A764FC9" w14:textId="0D650EA9" w:rsidR="00867E9F" w:rsidRDefault="00332449" w:rsidP="00867E9F">
      <w:pPr>
        <w:pStyle w:val="NormalWeb"/>
      </w:pPr>
      <w:r>
        <w:t> </w:t>
      </w:r>
      <w:r>
        <w:tab/>
      </w:r>
      <w:r>
        <w:tab/>
      </w:r>
      <w:r>
        <w:tab/>
      </w:r>
      <w:r>
        <w:tab/>
      </w:r>
      <w:r>
        <w:tab/>
      </w:r>
      <w:r>
        <w:tab/>
      </w:r>
      <w:r w:rsidR="00867E9F">
        <w:rPr>
          <w:rStyle w:val="Sterk"/>
        </w:rPr>
        <w:t>      Del I</w:t>
      </w:r>
    </w:p>
    <w:p w14:paraId="0264ADC6" w14:textId="26E08266" w:rsidR="00867E9F" w:rsidRDefault="00867E9F" w:rsidP="00867E9F">
      <w:pPr>
        <w:pStyle w:val="NormalWeb"/>
      </w:pPr>
      <w:r>
        <w:t>                              Du skal svara på alle underspørsmåla (truleg tidsbruk 4,5 timar).</w:t>
      </w:r>
    </w:p>
    <w:p w14:paraId="00EB98DB" w14:textId="39CAB4B6" w:rsidR="00867E9F" w:rsidRDefault="00867E9F" w:rsidP="00867E9F">
      <w:pPr>
        <w:pStyle w:val="NormalWeb"/>
      </w:pPr>
      <w:r>
        <w:t xml:space="preserve">Avtalelova § 36 seier som kjent at </w:t>
      </w:r>
      <w:proofErr w:type="gramStart"/>
      <w:r>
        <w:t>ei avtale</w:t>
      </w:r>
      <w:proofErr w:type="gramEnd"/>
      <w:r>
        <w:t xml:space="preserve"> kan heilt eller dels setjast til side eller endrast for så vidt det ville verke urimeleg å gjera ho gjeldande. I § 37 nr. 2 står ein spesialregel om vilkår «som ikke er individuelt forhandlet» mellom næringsdrivande og forbrukarar. Denne lyder «Hvis ett eller flere avtalevilkår medfører en betydelig skjevhet til skade for forbrukeren i de rettigheter og plikter partene har etter avtalen, kan forbrukeren ved anvendelse av § 36 kreve at avtalen for øvrig skal være bindende for partene, dersom den kan bestå med uforandret innhold.» Denne føresegna gjennomfører artikkel 6.1 i EU-direktiv 93/13 om urimelege kontraktsvilkår i forbrukaravtaler (heretter "Direktivet").</w:t>
      </w:r>
    </w:p>
    <w:p w14:paraId="4AEFA64E" w14:textId="78F02556" w:rsidR="00867E9F" w:rsidRDefault="00867E9F" w:rsidP="00867E9F">
      <w:pPr>
        <w:pStyle w:val="NormalWeb"/>
      </w:pPr>
      <w:r>
        <w:rPr>
          <w:b/>
          <w:bCs/>
        </w:rPr>
        <w:t xml:space="preserve">Oppgåve a) Gjer kort greie for kva for omsyn som grunngjev den særlege regelen i artikkel 6.1 i Direktivet om verknadar av at noko er ugyldig. </w:t>
      </w:r>
    </w:p>
    <w:p w14:paraId="384D4432" w14:textId="30837233" w:rsidR="00867E9F" w:rsidRDefault="00867E9F" w:rsidP="00867E9F">
      <w:pPr>
        <w:pStyle w:val="NormalWeb"/>
      </w:pPr>
      <w:r>
        <w:t>I avgjerda C-26/13 </w:t>
      </w:r>
      <w:r>
        <w:rPr>
          <w:i/>
          <w:iCs/>
        </w:rPr>
        <w:t xml:space="preserve">Kásler </w:t>
      </w:r>
      <w:r>
        <w:t xml:space="preserve">drøftar EU-domstolen om nasjonale domstolar i nokre tilfelle bør kunne erstatte eit urimeleg vilkår med deklaratoriske lovreglar. Saka har si bakgrunn i ein tvist for ungarske domstolar om vilkåra i </w:t>
      </w:r>
      <w:proofErr w:type="gramStart"/>
      <w:r>
        <w:t>ei avtale</w:t>
      </w:r>
      <w:proofErr w:type="gramEnd"/>
      <w:r>
        <w:t xml:space="preserve"> om valutalån. Ein ungarsk domstol hadde kome til at eit standardvilkår i avtala var urimeleg, men at avtala ikkje kunne oppretthaldast utan vilkåret. Dei sentrale delane av EU-domstolen si drøfting av det nemnde spørsmålet er avsnitt 76 til 85, som er tekne inn nedanfor.</w:t>
      </w:r>
    </w:p>
    <w:p w14:paraId="73B564A4" w14:textId="2FD53A12" w:rsidR="00867E9F" w:rsidRDefault="00867E9F" w:rsidP="00867E9F">
      <w:pPr>
        <w:pStyle w:val="NormalWeb"/>
      </w:pPr>
      <w:r>
        <w:rPr>
          <w:b/>
          <w:bCs/>
        </w:rPr>
        <w:t>Oppgåve b) Drøft, i lys av dei siterte avsnitta frå EU-domstolen si avgjerd, verknadane av at noko er urimeleg etter artikkel 6.1 i Direktivet. </w:t>
      </w:r>
    </w:p>
    <w:p w14:paraId="6D1087BF" w14:textId="3DC0DE54" w:rsidR="00867E9F" w:rsidRDefault="00867E9F" w:rsidP="00030C9B">
      <w:pPr>
        <w:pStyle w:val="NormalWeb"/>
        <w:ind w:left="709"/>
      </w:pPr>
      <w:r>
        <w:t>"76    Med det tredje spørgsmål ønsker den forelæggende ret nærmere bestemt oplyst, om artikel 6, stk. 1, i direktiv 93/13 i en situation som den i hovedsagen omhandlede, hvor en aftale, der er indgået mellem en erhvervsdrivende og en forbruger, ikke kan opretholdes, efter at et urimeligt vilkår er blevet ophævet, skal fortolkes således, at den er til hinder for en national lovgivning, der tillader den nationale ret at afhjælpe den manglende gyldighed af et urimeligt kontraktvilkår ved at erstatte det med en deklaratorisk bestemmelse i national ret.</w:t>
      </w:r>
    </w:p>
    <w:p w14:paraId="33D4E7F3" w14:textId="222198B0" w:rsidR="00867E9F" w:rsidRDefault="00867E9F" w:rsidP="00867E9F">
      <w:pPr>
        <w:pStyle w:val="NormalWeb"/>
        <w:ind w:left="709"/>
      </w:pPr>
      <w:r>
        <w:t>77      Domstolen har i denne forbindelse fastslået, at artikel 6, stk. 1, i direktiv 93/13 skal fortolkes således, at den er til hinder for en national bestemmelse, som gør det muligt for den nationale ret, når denne erklærer et vilkår i en aftale, som er indgået mellem en erhvervsdrivende og en forbruger, ugyldigt, at tilpasse den nævnte kontrakt ved at ændre dette vilkårs indhold (dom Banco Español de Crédito, EU:C:2012:349, præmis 73).</w:t>
      </w:r>
    </w:p>
    <w:p w14:paraId="0211AE1F" w14:textId="5DA35DCE" w:rsidR="00867E9F" w:rsidRDefault="00867E9F" w:rsidP="00867E9F">
      <w:pPr>
        <w:pStyle w:val="NormalWeb"/>
        <w:ind w:left="709"/>
      </w:pPr>
      <w:r>
        <w:lastRenderedPageBreak/>
        <w:t>78      På grund af arten og betydningen af den offentlige interesse, som den beskyttelse, der er sikret forbrugerne, som befinder sig i en svagere stilling end den erhvervsdrivende, hviler på, pålægger direktiv 93/13, således som det fremgår af dets artikel 7, stk. 1, sammenholdt med 24. betragtning hertil, således medlemsstaterne at fastsætte egnede og effektive midler "til at bringe anvendelsen af urimelige kontraktvilkår i aftaler, der indgås mellem forbrugere og en erhvervsdrivende, til ophør" (dom Banco Español de Crédito, EU:C:2012:349, præmis 68).</w:t>
      </w:r>
    </w:p>
    <w:p w14:paraId="04C3847B" w14:textId="5F52942E" w:rsidR="00867E9F" w:rsidRDefault="00867E9F" w:rsidP="00867E9F">
      <w:pPr>
        <w:pStyle w:val="NormalWeb"/>
        <w:ind w:left="709"/>
      </w:pPr>
      <w:r>
        <w:t>79      Imidlertid, hvis det stod en national retsinstans frit for at ændre indholdet af urimelige kontraktvilkår, der fremgår af sådanne aftaler, ville en sådan adgang kunne skade gennemførelsen af det langsigtede mål, der er nævnt i artikel 7 i direktiv 93/13. En sådan adgang kunne nemlig bidrage til at ophæve den afskrækkende virkning over for erhvervsdrivende, der opstår ved helt og holdent at undlade at anvende sådanne urimelige vilkår over for forbrugerne, for så vidt som de erhvervsdrivende fortsat ville være fristede til at anvende disse vilkår, velvidende at aftalen, selv hvis disse vilkår skulle blive erklæret ugyldige, ikke desto mindre ville kunne tilpasses i nødvendigt omfang af den nationale ret, således at deres interesse på denne måde blev sikret (dom Banco Español de Crédito, EU:C:2012:349, præmis 69).</w:t>
      </w:r>
    </w:p>
    <w:p w14:paraId="28E317DC" w14:textId="7E0B9B93" w:rsidR="00867E9F" w:rsidRDefault="00867E9F" w:rsidP="00867E9F">
      <w:pPr>
        <w:pStyle w:val="NormalWeb"/>
        <w:ind w:left="709"/>
      </w:pPr>
      <w:r>
        <w:t>80      Heraf følger imidlertid ikke, at artikel 6, stk. 1, i direktiv 93/13 i en situation som den i hovedsagen omhandlede er til hinder for, at den nationale ret under anvendelse af aftaleretlige principper ophæver det urimelige kontraktvilkår og erstatter det med en deklaratorisk bestemmelse i national ret.</w:t>
      </w:r>
    </w:p>
    <w:p w14:paraId="2E2C3F6B" w14:textId="1E5C41B4" w:rsidR="00867E9F" w:rsidRDefault="00867E9F" w:rsidP="00867E9F">
      <w:pPr>
        <w:pStyle w:val="NormalWeb"/>
        <w:ind w:left="709"/>
      </w:pPr>
      <w:r>
        <w:t>81      Henset til formålet med direktiv 93/13 er det tværtimod fuldt ud berettiget at erstatte et urimeligt kontraktvilkår med en sådan bestemmelse – der, som det fremgår af 13. betragtning til direktiv 93/13, anses for ikke at indeholde urimelige kontraktvilkår – da dette bevirker, at aftalen til trods for ophævelsen af vilkår III/2 kan opretholdes og fortsat være bindende for parterne.</w:t>
      </w:r>
    </w:p>
    <w:p w14:paraId="26289A32" w14:textId="2B1E0127" w:rsidR="00867E9F" w:rsidRDefault="00867E9F" w:rsidP="00030C9B">
      <w:pPr>
        <w:pStyle w:val="NormalWeb"/>
        <w:ind w:left="709"/>
      </w:pPr>
      <w:r>
        <w:t>82      Det er nemlig i overensstemmelse med formålet med artikel 6, stk. 1, i direktiv 93/13 at erstatte et urimeligt kontraktvilkår med en national deklaratorisk bestemmelse, da bestemmelsen, som det fremgår af retspraksis, har til formål at erstatte den formelle balance, som kontrakten indfører mellem medkontrahenternes rettigheder og forpligtelser, med en reel balance, der skal genindføre ligheden mellem parterne, og ikke at annullere samtlige aftaler, der indeholder urimelige vilkår (jf. i denne retning bl.a. domme Pereničová og Perenič, C-453/10, EU:C:2012:144, præmis 31, og Banco Español de Crédito, EU:C:2012:349, præmis 40 og den deri nævnte retspraksis).</w:t>
      </w:r>
    </w:p>
    <w:p w14:paraId="46769AB3" w14:textId="0024A84C" w:rsidR="00867E9F" w:rsidRDefault="00867E9F" w:rsidP="00867E9F">
      <w:pPr>
        <w:pStyle w:val="NormalWeb"/>
        <w:ind w:left="709"/>
      </w:pPr>
      <w:r>
        <w:t>83      Hvis det derimod i en situation som den i hovedsagen omhandlede ikke var tilladt at ændre et urimeligt kontraktvilkår med en deklaratorisk bestemmelse, ville den nationale ret være forpligtet til at annullere aftalen i det hele, hvilket ville have negative følger for forbrugeren, og den forebyggende virkning af at annullere aftalen ville gå tabt.</w:t>
      </w:r>
    </w:p>
    <w:p w14:paraId="233B8FFB" w14:textId="1F399C0F" w:rsidR="00867E9F" w:rsidRDefault="00867E9F" w:rsidP="00867E9F">
      <w:pPr>
        <w:pStyle w:val="NormalWeb"/>
        <w:ind w:left="709"/>
      </w:pPr>
      <w:r>
        <w:lastRenderedPageBreak/>
        <w:t>84      I princippet bevirker en sådan annullation nemlig, at det skyldige lånebeløb straks forfalder til betaling og dette med et beløb, der rækker ud over forbrugerens økonomiske formåen, og dermed straffes forbrugeren snarere end långiver, som ikke vil blive afskrækket fra at indføre sådanne vilkår i de aftaler, som den pågældende udbyder.</w:t>
      </w:r>
    </w:p>
    <w:p w14:paraId="4975271E" w14:textId="19590B9B" w:rsidR="00867E9F" w:rsidRDefault="00867E9F" w:rsidP="00867E9F">
      <w:pPr>
        <w:pStyle w:val="NormalWeb"/>
        <w:ind w:left="709"/>
      </w:pPr>
      <w:r>
        <w:t>85      Henset til ovenstående betragtninger skal det tredje spørgsmål besvares med, at artikel 6, stk. 1, i direktiv 93/13 skal fortolkes således, at i en situation som den i hovedsagen omhandlede, hvor en aftale, der er indgået mellem en erhvervsdrivende og en forbruger, ikke kan opretholdes, efter at et urimeligt vilkår er blevet ophævet, er denne bestemmelse ikke til hinder for en national bestemmelse, der tillader den nationale ret at afhjælpe den manglende gyldighed af dette vilkår ved at erstatte det med en deklaratorisk bestemmelse i national ret."</w:t>
      </w:r>
    </w:p>
    <w:p w14:paraId="44EB56C0" w14:textId="391EF755" w:rsidR="00867E9F" w:rsidRDefault="00867E9F" w:rsidP="00867E9F">
      <w:pPr>
        <w:pStyle w:val="NormalWeb"/>
      </w:pPr>
      <w:r>
        <w:t xml:space="preserve">I ei seinare avgjerd, C-260/18 </w:t>
      </w:r>
      <w:r>
        <w:rPr>
          <w:i/>
          <w:iCs/>
        </w:rPr>
        <w:t>Dziubak, </w:t>
      </w:r>
      <w:r>
        <w:t xml:space="preserve">presiserte EU-domstolen at høvet til å supplere med ei nasjonal lovføresegn berre gjaldt føresegner som hadde «været genstand for en særlig vurdering fra lovgivers side med henblik på at skabe en balance mellem aftaleparternes samlede rettigheder og forpligtelse» i eit kontraktsforhold. Nasjonale domstolar kunne ikkje setja inn nye føresegner berre basert på generelle reglar som at ein ved tolkinga av </w:t>
      </w:r>
      <w:proofErr w:type="gramStart"/>
      <w:r>
        <w:t>ei avtale</w:t>
      </w:r>
      <w:proofErr w:type="gramEnd"/>
      <w:r>
        <w:t xml:space="preserve"> må leggje vekt på «føremåla til partane». I saka C-269/19 </w:t>
      </w:r>
      <w:r>
        <w:rPr>
          <w:i/>
          <w:iCs/>
        </w:rPr>
        <w:t>Banca B</w:t>
      </w:r>
      <w:r>
        <w:t xml:space="preserve"> oppstod spørsmålet om i kva grad EU-retten tillet at ein nasjonal domstol fastset renta i </w:t>
      </w:r>
      <w:proofErr w:type="gramStart"/>
      <w:r>
        <w:t>ei låneavtale</w:t>
      </w:r>
      <w:proofErr w:type="gramEnd"/>
      <w:r>
        <w:t xml:space="preserve"> dersom domstolen kjem til at dei avtala renteføresegnene er urimelege.</w:t>
      </w:r>
    </w:p>
    <w:p w14:paraId="2AC20B4F" w14:textId="081F024B" w:rsidR="00867E9F" w:rsidRDefault="00867E9F" w:rsidP="00867E9F">
      <w:pPr>
        <w:pStyle w:val="NormalWeb"/>
      </w:pPr>
      <w:r>
        <w:rPr>
          <w:b/>
          <w:bCs/>
        </w:rPr>
        <w:t>Oppgåve c</w:t>
      </w:r>
      <w:proofErr w:type="gramStart"/>
      <w:r>
        <w:rPr>
          <w:b/>
          <w:bCs/>
        </w:rPr>
        <w:t>)  Gjer</w:t>
      </w:r>
      <w:proofErr w:type="gramEnd"/>
      <w:r>
        <w:rPr>
          <w:b/>
          <w:bCs/>
        </w:rPr>
        <w:t>, på bakgrunn av avsnitta frå denne avgjerda siterte nedanfor, greie for kva for verknadar av at noko er ugyldig etter avtalelova § 36 jf. § 37 som no er tilgjengelege for ein norsk domstol som kjem til at eit vilkår som ikkje er individuelt forhandla i ei avtale mellom ein næringsdrivande og ein forbrukar, er urimeleg. Analyser og vurder EU-domstolen si grunngjeving for ei slik løysing.  </w:t>
      </w:r>
    </w:p>
    <w:p w14:paraId="217D4ED0" w14:textId="4CBA586F" w:rsidR="00867E9F" w:rsidRDefault="00867E9F" w:rsidP="00867E9F">
      <w:pPr>
        <w:pStyle w:val="NormalWeb"/>
        <w:ind w:left="709"/>
      </w:pPr>
      <w:r>
        <w:t>"</w:t>
      </w:r>
      <w:proofErr w:type="gramStart"/>
      <w:r>
        <w:t>34  Hvis</w:t>
      </w:r>
      <w:proofErr w:type="gramEnd"/>
      <w:r>
        <w:t xml:space="preserve"> den nationale ret i en situation som den, der er beskrevet i nærværende [dom], ikke kunne erstatte et urimeligt kontraktvilkår med en deklaratorisk bestemmelse i national ret og var forpligtet til at annullere aftalen i det hele, ville dette have særligt skadelige virkninger for forbrugeren, og den afskrækkende virkning af at annullere aftalen ville gå tabt. I princippet bevirker en sådan annullation for så vidt angår en låneaftale nemlig, at det skyldige lånebeløb straks forfalder til betaling og dette med et beløb, der rækker ud over forbrugerens økonomiske formåen, og dermed straffes forbrugeren snarere end långiver, som ikke vil blive afskrækket fra at indføre sådanne vilkår i de aftaler, som den pågældende udbyder (jf. bl.a. dom af 30.4.2014, Kásler og Káslerné Rábai, C-26/13, EU:C:2014:282, præmis 83 og 84, af 26.3.2019, Abanca Corporación Bancaria og Bankia, C-70/17 og C-179/17, EU:C:2019:250, præmis 58, og af 3.3.2020, Gómez del Moral Guasch, C-125/18, EU:C:2020:138, præmis 63).</w:t>
      </w:r>
    </w:p>
    <w:p w14:paraId="01DEDAF5" w14:textId="28A7B5F2" w:rsidR="00867E9F" w:rsidRDefault="00867E9F" w:rsidP="00867E9F">
      <w:pPr>
        <w:pStyle w:val="NormalWeb"/>
        <w:ind w:left="709"/>
      </w:pPr>
      <w:r>
        <w:t xml:space="preserve">35      Domstolen har desuden kendt for ret, at artikel 6, stk. 1, i direktiv 93/13 er til hinder for, at lakuner i en aftale, der følger af ophævelsen af aftalens urimelige vilkår, udfyldes </w:t>
      </w:r>
      <w:r>
        <w:lastRenderedPageBreak/>
        <w:t>alene ved anvendelse af almindelige bestemmelser i national ret, der ikke har været genstand for en særlig vurdering fra lovgivers side med henblik på at skabe en balance mellem aftaleparternes samlede rettigheder og forpligtelser og som følge heraf ikke er omfattet af formodningen for, at de ikke er urimelige, hvilke bestemmelser fastsætter, at de virkninger, der udtrykkes i en retshandel, fuldstændiggøres af bl.a. de virkninger, der udspringer af princippet om rimelighed eller af sædvane, og som hverken er deklaratoriske bestemmelser eller bestemmelser, der finder anvendelse ved aftale herom mellem aftaleparterne (dom af 3.10.2019, Dziubak, C-260/18, EU:C:2019:819, præmis 61 og 62).</w:t>
      </w:r>
    </w:p>
    <w:p w14:paraId="76CB2B94" w14:textId="44FBC183" w:rsidR="00867E9F" w:rsidRDefault="00867E9F" w:rsidP="00867E9F">
      <w:pPr>
        <w:pStyle w:val="NormalWeb"/>
        <w:ind w:left="709"/>
      </w:pPr>
      <w:r>
        <w:t>36      I den foreliggende sag har den forelæggende ret forespurgt Domstolen om de beføjelser, som den nationale ret tillægges i medfør af artikel 6, stk. 1, i direktiv 93/13 i det tilfælde, hvor aftalen ikke kan opretholdes uden de urimelige kontraktvilkår, men hvor den nationale ret ikke kan erstatte disse vilkår med en deklaratorisk bestemmelse i national ret.</w:t>
      </w:r>
    </w:p>
    <w:p w14:paraId="0897BBAB" w14:textId="093B9E47" w:rsidR="00867E9F" w:rsidRDefault="00867E9F" w:rsidP="00867E9F">
      <w:pPr>
        <w:pStyle w:val="NormalWeb"/>
        <w:ind w:left="709"/>
      </w:pPr>
      <w:r>
        <w:t>37      Selv om ordlyden af artikel 6, stk. 1, i direktiv 93/13 ikke giver nogen indikation i denne retning, skal det fremhæves, at formålet med direktiv 93/13 er at sikre et højt forbrugerbeskyttelsesniveau. EU-lovgiver har navnlig i artikel 7 i direktiv 93/13, sammenholdt med 24. betragtning til direktivet, udtrykkeligt anført, at myndighederne, navnlig retsmyndighederne, skal råde over tilstrækkelige og effektive midler til at bringe anvendelsen af urimelige vilkår i forbrugeraftaler til ophør.</w:t>
      </w:r>
    </w:p>
    <w:p w14:paraId="74449A36" w14:textId="673A55E4" w:rsidR="00867E9F" w:rsidRDefault="00867E9F" w:rsidP="003452FC">
      <w:pPr>
        <w:pStyle w:val="NormalWeb"/>
        <w:ind w:left="709"/>
      </w:pPr>
      <w:r>
        <w:t>38      I dette perspektiv, og således som det fremgår af den retspraksis, der er nævnt i nærværende doms præmis 31-34, skal de konsekvenser, der skal drages af en konstatering af, at et vilkår, som er indeholdt i en aftale mellem en erhvervsdrivende og en forbruger, er urimeligt, gøre det muligt at opfylde to mål. Dels skal retten påse, at den lighed mellem parterne i en aftale, som er blevet undergravet ved anvendelsen af et vilkår, der er urimeligt over for forbrugeren, kan genindføres. Dels skal det sikres, at den erhvervsdrivende afskrækkes fra at indføre sådanne vilkår i de aftaler, som den pågældende udbyder til forbrugerne.</w:t>
      </w:r>
    </w:p>
    <w:p w14:paraId="69FF4153" w14:textId="0EAEB4B7" w:rsidR="00867E9F" w:rsidRDefault="00867E9F" w:rsidP="00867E9F">
      <w:pPr>
        <w:pStyle w:val="NormalWeb"/>
        <w:ind w:left="709"/>
      </w:pPr>
      <w:r>
        <w:t>39      Direktiv 93/13 har ikke til formål at anbefale ensartede løsninger hvad angår de konsekvenser, der skal drages af en konstatering af, at et kontraktvilkår er urimeligt. Eftersom de urimelige vilkår i henhold til artikel 6, stk. 1, i direktiv 93/13 ikke kan binde forbrugerne, kan disse mål således opfyldes, alt efter det enkelte tilfælde og den nationale lovgivning, ved ganske enkelt at undlade at anvende det pågældende urimelige vilkår over for forbrugeren eller, når aftalen ikke kan opretholdes uden dette vilkår, ved at erstatte vilkåret med deklaratoriske bestemmelser i national ret.</w:t>
      </w:r>
    </w:p>
    <w:p w14:paraId="64201C15" w14:textId="4F33BB8B" w:rsidR="00867E9F" w:rsidRDefault="00867E9F" w:rsidP="00867E9F">
      <w:pPr>
        <w:pStyle w:val="NormalWeb"/>
        <w:ind w:left="709"/>
      </w:pPr>
      <w:r>
        <w:t>40      Disse konsekvenser af en konstatering af, at et kontraktvilkår er urimeligt, er dog ikke udtømmende.</w:t>
      </w:r>
    </w:p>
    <w:p w14:paraId="0AE8DB57" w14:textId="5F579590" w:rsidR="00867E9F" w:rsidRDefault="00867E9F" w:rsidP="00867E9F">
      <w:pPr>
        <w:pStyle w:val="NormalWeb"/>
        <w:ind w:left="709"/>
      </w:pPr>
      <w:r>
        <w:t xml:space="preserve">41      Når den nationale ret er af den opfattelse, at den omhandlede låneaftale i overensstemmelse med aftaleretten retligt set ikke kan opretholdes efter ophævelsen af de </w:t>
      </w:r>
      <w:r>
        <w:lastRenderedPageBreak/>
        <w:t>pågældende urimelige vilkår, og når der ikke findes en deklaratorisk bestemmelse i national lovgivning eller en bestemmelse, der finder anvendelse ved aftale herom mellem aftaleparterne, som kan erstatte de nævnte vilkår, skal det således fastslås, at for så vidt som forbrugeren ikke har udtrykt et ønske om at fastholde de urimelige vilkår, og hvor en annullation af aftalen vil have særligt skadelige virkninger for forbrugeren, kræver det høje forbrugerbeskyttelsesniveau, som i overensstemmelse med direktiv 93/13 skal sikres, at den nationale ret – for at genindføre den reelle balance mellem aftaleparternes gensidige rettigheder og forpligtelser – idet den tager hensyn til hele den nationale lovgivning, træffer alle nødvendige foranstaltninger for at beskytte forbrugeren mod særligt skadelige virkninger, som kan følge af en annullation af den omhandlede låneaftale, herunder at den erhvervsdrivendes fordring straks kan fuldbyrdes over for nævnte forbruger.</w:t>
      </w:r>
    </w:p>
    <w:p w14:paraId="22C16CE9" w14:textId="3E11A149" w:rsidR="00867E9F" w:rsidRDefault="00867E9F" w:rsidP="00867E9F">
      <w:pPr>
        <w:pStyle w:val="NormalWeb"/>
        <w:ind w:left="709"/>
      </w:pPr>
      <w:r>
        <w:t>42      Det skal i denne henseende præciseres, at der under sådanne omstændigheder som de i hovedsagen omhandlede intet er til hinder for, at den nationale ret opfordrer parterne til at forhandle om en fastlæggelse af metoden til beregning af rentesatsen, under forudsætning af, at denne ret fastsætter kriterier for disse forhandlinger, og at disse forhandlinger har til formål at indføre en reel balance mellem aftaleparternes rettigheder og forpligtelser, der bl.a. tager hensyn til det formål om forbrugerbeskyttelse, der ligger grund for direktiv 93/13.</w:t>
      </w:r>
    </w:p>
    <w:p w14:paraId="38E717DD" w14:textId="43FE06A3" w:rsidR="00867E9F" w:rsidRDefault="00867E9F" w:rsidP="003452FC">
      <w:pPr>
        <w:pStyle w:val="NormalWeb"/>
        <w:ind w:left="709"/>
      </w:pPr>
      <w:r>
        <w:t>43      Som Domstolen allerede har udtalt, påhviler det således den nationale ret i videst muligt omfang at foretage en anvendelse af sin nationale lovgivning, således at alle de konsekvenser, der ifølge den nævnte lovgivning følger af konstateringen af, at det pågældende vilkår er urimeligt, drages med henblik på at nå det resultat, der er fastsat i dette direktivs artikel 6, stk. 1, dvs. at forbrugeren ikke bindes af dette vilkår...Det samme gør sig gældende, når det efter en konstatering af den urimelige karakter af et vilkår drejer sig om at fastlægge de konsekvenser, der skal drages af denne konstatering, med henblik på at sikre et højt forbrugerbeskyttelsesniveau i overensstemmelse med formålet med dette direktiv.</w:t>
      </w:r>
    </w:p>
    <w:p w14:paraId="3EECD0B6" w14:textId="5CEB5F78" w:rsidR="00867E9F" w:rsidRDefault="00867E9F" w:rsidP="00867E9F">
      <w:pPr>
        <w:pStyle w:val="NormalWeb"/>
        <w:ind w:left="709"/>
      </w:pPr>
      <w:r>
        <w:t>44      Det skal imidlertid præciseres, at rettens beføjelser ikke kan udstrækkes til at gå videre, end hvad der er strengt nødvendigt for at genindføre den aftalemæssige balance mellem aftaleparterne og beskytte forbrugeren mod de særligt skadelige virkninger, som kan følge af en annullation af den omhandlede låneaftale. Hvis det stod retten frit for at ændre eller moderere indholdet af urimelige vilkår, ville en sådan beføjelse nemlig kunne skade opfyldelsen af begge de mål, der er nævnt i nærværende doms 38.</w:t>
      </w:r>
    </w:p>
    <w:p w14:paraId="1E0FBB7F" w14:textId="77777777" w:rsidR="00867E9F" w:rsidRDefault="00867E9F" w:rsidP="00867E9F">
      <w:pPr>
        <w:pStyle w:val="NormalWeb"/>
        <w:ind w:left="709"/>
      </w:pPr>
      <w:r>
        <w:t xml:space="preserve">45      På baggrund af ovenstående betragtninger skal de forelagte spørgsmål besvares med, at artikel 6, stk. 1, i direktiv 93/13 skal fortolkes således, at en national ret – efter at det er fastslået, at vilkår, som definerer mekanismen for fastsættelse af en variabel rentesats i en låneaftale, såsom den i hovedsagen omhandlede, er urimelige, og når denne aftale ikke kan opretholdes efter ophævelsen af de pågældende urimelige vilkår, og en annullation af nævnte aftale vil have særligt skadelige virkninger for forbrugeren, og der ikke findes en deklaratorisk bestemmelse i national lovgivning – under hensyntagen til hele dens nationale lovgivning skal træffe alle de nødvendige foranstaltninger for at beskytte forbrugeren mod </w:t>
      </w:r>
      <w:r>
        <w:lastRenderedPageBreak/>
        <w:t>de særligt skadelige virkninger, som kan følge af en annullation af nævnte aftale. Under omstændigheder som de i hovedsagen omhandlede er der navnlig intet til hinder for, at den nationale ret opfordrer parterne til at forhandle om en fastlæggelse af metoden til beregning af rentesatsen, under forudsætning af, at denne ret fastsætter kriterier for disse forhandlinger, og at disse forhandlinger har til formål at indføre en reel balance mellem aftaleparternes rettigheder og forpligtelser, hvilken balance bl.a. tager hensyn til det formål om forbrugerbeskyttelse, der ligger grund for direktiv 93/13."</w:t>
      </w:r>
    </w:p>
    <w:p w14:paraId="5C98C7C2" w14:textId="77777777" w:rsidR="00867E9F" w:rsidRDefault="00867E9F" w:rsidP="00867E9F">
      <w:pPr>
        <w:pStyle w:val="NormalWeb"/>
      </w:pPr>
    </w:p>
    <w:p w14:paraId="6C344866" w14:textId="77777777" w:rsidR="00867E9F" w:rsidRDefault="00867E9F" w:rsidP="00867E9F">
      <w:pPr>
        <w:pStyle w:val="NormalWeb"/>
      </w:pPr>
      <w:r>
        <w:rPr>
          <w:rStyle w:val="Sterk"/>
        </w:rPr>
        <w:t>                                                                    Del II </w:t>
      </w:r>
    </w:p>
    <w:p w14:paraId="68D017B1" w14:textId="58F76B69" w:rsidR="00867E9F" w:rsidRDefault="00867E9F" w:rsidP="00867E9F">
      <w:pPr>
        <w:pStyle w:val="NormalWeb"/>
      </w:pPr>
      <w:r>
        <w:t>                                                    (truleg tidsbruk 1,5 timar)</w:t>
      </w:r>
    </w:p>
    <w:p w14:paraId="67A3B2BD" w14:textId="699635C6" w:rsidR="00867E9F" w:rsidRDefault="00867E9F" w:rsidP="00867E9F">
      <w:pPr>
        <w:pStyle w:val="NormalWeb"/>
      </w:pPr>
      <w:r>
        <w:t>Peder Ås har inngått avtale om leasing av ein varebil av merket Hoyota med selskapet Hoyota Bilfinans AS. Peder skal bruke bilen til transport knytt til daglegvareforretninga han driv. Hoyota Bilfinans AS ("eigaren") har erverva bilen frå Hoyota Bil AS ("leverandøren"). Minimum leigeperiode er fire år.</w:t>
      </w:r>
    </w:p>
    <w:p w14:paraId="1EB0111D" w14:textId="4299CC77" w:rsidR="00867E9F" w:rsidRDefault="00867E9F" w:rsidP="00867E9F">
      <w:pPr>
        <w:pStyle w:val="NormalWeb"/>
      </w:pPr>
      <w:r>
        <w:t>Bilen viser seg å ha ein del manglar, som Peder Ås reklamerer om overfor Hoyota Bilfinans AS. Selskapet ber tilsette i Hoyota Bil AS om å rette desse manglane, men forsøka på retting er mislykka. Etter eit halvt år krev Peder avslag i leiga som svarar til den reduserte verdien av bilen som manglane har medført. Hoyota Bilfinans AS er samd i at bilen er mangelfull, men nektar å gje prisavslag. Selskapet seier at Peder eventuelt kan seia opp leigeforholdet etter avtala § 11, som lyder:</w:t>
      </w:r>
    </w:p>
    <w:p w14:paraId="638D3E54" w14:textId="77777777" w:rsidR="00867E9F" w:rsidRDefault="00867E9F" w:rsidP="00867E9F">
      <w:pPr>
        <w:pStyle w:val="NormalWeb"/>
        <w:ind w:firstLine="709"/>
      </w:pPr>
      <w:r>
        <w:t>"§ 11 Oppseiing</w:t>
      </w:r>
    </w:p>
    <w:p w14:paraId="3C9D1095" w14:textId="77777777" w:rsidR="00867E9F" w:rsidRDefault="00867E9F" w:rsidP="00867E9F">
      <w:pPr>
        <w:pStyle w:val="NormalWeb"/>
        <w:ind w:left="709"/>
      </w:pPr>
      <w:r>
        <w:t>Leigetakaren kan med tre månadars varsel seia opp avtala før leigeperioden går ut dersom bilen har manglar som ikkje blir retta innan rimeleg tid, eller leigetakaren på grunn av tilhøve utanfor vedkomande sin kontroll ikkje lenger har behov for bilen. Ved slik oppseiing er leigetakaren forplikta til å betala følgjande til eigaren:</w:t>
      </w:r>
    </w:p>
    <w:p w14:paraId="7091E577" w14:textId="77777777" w:rsidR="00867E9F" w:rsidRDefault="00867E9F" w:rsidP="00867E9F">
      <w:pPr>
        <w:pStyle w:val="NormalWeb"/>
        <w:ind w:left="709"/>
      </w:pPr>
      <w:r>
        <w:t>1.           alle forfalte ubetalte leigeterminar</w:t>
      </w:r>
    </w:p>
    <w:p w14:paraId="281CEF0F" w14:textId="77777777" w:rsidR="00867E9F" w:rsidRDefault="00867E9F" w:rsidP="00867E9F">
      <w:pPr>
        <w:pStyle w:val="NormalWeb"/>
        <w:ind w:left="709"/>
      </w:pPr>
      <w:r>
        <w:t>2.           alle ikkje-forfalte leigeterminar for den delen av minimumsperioden som står att</w:t>
      </w:r>
    </w:p>
    <w:p w14:paraId="790BCA6B" w14:textId="77777777" w:rsidR="00867E9F" w:rsidRDefault="00867E9F" w:rsidP="00867E9F">
      <w:pPr>
        <w:pStyle w:val="NormalWeb"/>
        <w:ind w:left="709"/>
      </w:pPr>
      <w:r>
        <w:t>3.           erstatning for ytterlegere tap eigaren måtte lide som følgje av at leasingavtala blir avbrote før minimumsperioden går ut.</w:t>
      </w:r>
    </w:p>
    <w:p w14:paraId="54615F02" w14:textId="77777777" w:rsidR="00867E9F" w:rsidRDefault="00867E9F" w:rsidP="00867E9F">
      <w:pPr>
        <w:pStyle w:val="NormalWeb"/>
        <w:ind w:left="709"/>
      </w:pPr>
      <w:r>
        <w:t>Eigaren sine krav etter nr. 2 og 3 skal reduserast med den nettosummen eigaren oppnår ved sal av motorvogna, utbetaling av forsikring eller restitusjon av kjøpesummen.</w:t>
      </w:r>
    </w:p>
    <w:p w14:paraId="6A48CD22" w14:textId="17A96795" w:rsidR="00867E9F" w:rsidRDefault="00867E9F" w:rsidP="00867E9F">
      <w:pPr>
        <w:pStyle w:val="NormalWeb"/>
        <w:ind w:left="709"/>
      </w:pPr>
      <w:r>
        <w:lastRenderedPageBreak/>
        <w:t>Leigetakaren kan ikkje gjera gjeldande andre krav mot eigaren på grunn av eventuelle manglar eller forseinking som gjeld bilen. Slike eventuelle krav må rettast mot leverandøren av bilen." </w:t>
      </w:r>
    </w:p>
    <w:p w14:paraId="05F28E1C" w14:textId="77777777" w:rsidR="00867E9F" w:rsidRDefault="00867E9F" w:rsidP="00867E9F">
      <w:pPr>
        <w:pStyle w:val="NormalWeb"/>
      </w:pPr>
      <w:r>
        <w:t>Peder hevdar at denne klausulen er urimeleg etter avtalelova § 36 og held fast ved kravet om at Hoyota Bilfinans AS må gje avslag i leiga tilsvarande den reduserte verdien av bilen.</w:t>
      </w:r>
    </w:p>
    <w:p w14:paraId="45428C35" w14:textId="77777777" w:rsidR="00867E9F" w:rsidRDefault="00867E9F" w:rsidP="00867E9F">
      <w:pPr>
        <w:pStyle w:val="NormalWeb"/>
      </w:pPr>
    </w:p>
    <w:p w14:paraId="2509A466" w14:textId="77777777" w:rsidR="00867E9F" w:rsidRDefault="00867E9F" w:rsidP="00867E9F">
      <w:pPr>
        <w:pStyle w:val="NormalWeb"/>
      </w:pPr>
      <w:r>
        <w:rPr>
          <w:b/>
          <w:bCs/>
        </w:rPr>
        <w:t xml:space="preserve">Drøft og ta stilling til Peder Ås sitt krav om prisavslag mot Hoyota Bilfinans AS. </w:t>
      </w:r>
      <w:r>
        <w:t> </w:t>
      </w:r>
    </w:p>
    <w:p w14:paraId="46D0DA89" w14:textId="7DF49A0B" w:rsidR="00465FF3" w:rsidRDefault="00332449" w:rsidP="00867E9F">
      <w:pPr>
        <w:pStyle w:val="NormalWeb"/>
        <w:spacing w:after="165" w:afterAutospacing="0"/>
      </w:pPr>
      <w:r>
        <w:t> </w:t>
      </w:r>
    </w:p>
    <w:p w14:paraId="2B8CEEF5" w14:textId="77777777" w:rsidR="00465FF3" w:rsidRDefault="00465FF3" w:rsidP="00465FF3">
      <w:pPr>
        <w:spacing w:after="0"/>
        <w:jc w:val="center"/>
      </w:pPr>
      <w:r>
        <w:t>***</w:t>
      </w:r>
    </w:p>
    <w:p w14:paraId="5D7A839E" w14:textId="541FAEF7" w:rsidR="00465FF3" w:rsidRDefault="00465FF3" w:rsidP="00465FF3"/>
    <w:p w14:paraId="6C14B28E" w14:textId="77777777" w:rsidR="00465FF3" w:rsidRDefault="00465FF3" w:rsidP="00465FF3">
      <w:pPr>
        <w:pStyle w:val="Georgia11spacing0after"/>
        <w:rPr>
          <w:rFonts w:ascii="Times New Roman" w:hAnsi="Times New Roman"/>
          <w:sz w:val="24"/>
          <w:szCs w:val="24"/>
        </w:rPr>
      </w:pPr>
    </w:p>
    <w:p w14:paraId="1B850141" w14:textId="77777777" w:rsidR="00465FF3" w:rsidRDefault="00465FF3" w:rsidP="00465FF3">
      <w:pPr>
        <w:pStyle w:val="Georgia11spacing0after"/>
        <w:rPr>
          <w:rFonts w:ascii="Times New Roman" w:hAnsi="Times New Roman"/>
          <w:sz w:val="24"/>
          <w:szCs w:val="24"/>
        </w:rPr>
      </w:pPr>
    </w:p>
    <w:p w14:paraId="5A75A498" w14:textId="77777777" w:rsidR="00B471C2" w:rsidRDefault="00465FF3" w:rsidP="00465FF3">
      <w:pPr>
        <w:pStyle w:val="Georgia11spacing0after"/>
        <w:rPr>
          <w:rFonts w:ascii="Times New Roman" w:hAnsi="Times New Roman"/>
          <w:sz w:val="24"/>
          <w:szCs w:val="24"/>
        </w:rPr>
      </w:pPr>
      <w:r>
        <w:rPr>
          <w:rFonts w:ascii="Times New Roman" w:hAnsi="Times New Roman"/>
          <w:sz w:val="24"/>
          <w:szCs w:val="24"/>
        </w:rPr>
        <w:t xml:space="preserve">Oslo, </w:t>
      </w:r>
      <w:r w:rsidR="00332449">
        <w:rPr>
          <w:rFonts w:ascii="Times New Roman" w:hAnsi="Times New Roman"/>
          <w:sz w:val="24"/>
          <w:szCs w:val="24"/>
        </w:rPr>
        <w:t>vår</w:t>
      </w:r>
      <w:r>
        <w:rPr>
          <w:rFonts w:ascii="Times New Roman" w:hAnsi="Times New Roman"/>
          <w:sz w:val="24"/>
          <w:szCs w:val="24"/>
        </w:rPr>
        <w:t xml:space="preserve"> 202</w:t>
      </w:r>
      <w:r w:rsidR="00332449">
        <w:rPr>
          <w:rFonts w:ascii="Times New Roman" w:hAnsi="Times New Roman"/>
          <w:sz w:val="24"/>
          <w:szCs w:val="24"/>
        </w:rPr>
        <w:t>3</w:t>
      </w:r>
      <w:r w:rsidR="00B471C2">
        <w:rPr>
          <w:rFonts w:ascii="Times New Roman" w:hAnsi="Times New Roman"/>
          <w:sz w:val="24"/>
          <w:szCs w:val="24"/>
        </w:rPr>
        <w:t xml:space="preserve"> </w:t>
      </w:r>
    </w:p>
    <w:p w14:paraId="7EB9E236" w14:textId="77777777" w:rsidR="00B471C2" w:rsidRDefault="00B471C2" w:rsidP="00465FF3">
      <w:pPr>
        <w:pStyle w:val="Georgia11spacing0after"/>
        <w:rPr>
          <w:rFonts w:ascii="Times New Roman" w:hAnsi="Times New Roman"/>
          <w:sz w:val="24"/>
          <w:szCs w:val="24"/>
        </w:rPr>
      </w:pPr>
      <w:r>
        <w:rPr>
          <w:rFonts w:ascii="Times New Roman" w:hAnsi="Times New Roman"/>
          <w:sz w:val="24"/>
          <w:szCs w:val="24"/>
        </w:rPr>
        <w:t xml:space="preserve">Professor Harald Irgens-Jensen </w:t>
      </w:r>
    </w:p>
    <w:p w14:paraId="6F1FE41E" w14:textId="6E383E45" w:rsidR="00465FF3" w:rsidRDefault="00B471C2" w:rsidP="00465FF3">
      <w:pPr>
        <w:pStyle w:val="Georgia11spacing0after"/>
        <w:rPr>
          <w:rFonts w:ascii="Times New Roman" w:hAnsi="Times New Roman"/>
          <w:sz w:val="24"/>
          <w:szCs w:val="24"/>
        </w:rPr>
      </w:pPr>
      <w:r>
        <w:rPr>
          <w:rFonts w:ascii="Times New Roman" w:hAnsi="Times New Roman"/>
          <w:sz w:val="24"/>
          <w:szCs w:val="24"/>
        </w:rPr>
        <w:t>Faglig eksamensleder</w:t>
      </w:r>
    </w:p>
    <w:p w14:paraId="410CA8DD" w14:textId="79DE45AE" w:rsidR="00332449" w:rsidRPr="00EA360B" w:rsidRDefault="00332449" w:rsidP="00332449">
      <w:pPr>
        <w:pStyle w:val="Georgia11spacing0after"/>
      </w:pPr>
    </w:p>
    <w:sectPr w:rsidR="00332449" w:rsidRPr="00EA360B" w:rsidSect="00695E9B">
      <w:headerReference w:type="default" r:id="rId12"/>
      <w:footerReference w:type="default" r:id="rId13"/>
      <w:pgSz w:w="11906" w:h="16838"/>
      <w:pgMar w:top="2495" w:right="1134" w:bottom="2268" w:left="1134" w:header="79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6B3A" w14:textId="77777777" w:rsidR="00A70ADF" w:rsidRDefault="00A70ADF" w:rsidP="00B40445">
      <w:pPr>
        <w:spacing w:after="0"/>
      </w:pPr>
      <w:r>
        <w:separator/>
      </w:r>
    </w:p>
  </w:endnote>
  <w:endnote w:type="continuationSeparator" w:id="0">
    <w:p w14:paraId="6BB63EA8" w14:textId="77777777" w:rsidR="00A70ADF" w:rsidRDefault="00A70ADF" w:rsidP="00B40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3926492"/>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459BF4C3" w14:textId="77777777" w:rsidR="00476CD2" w:rsidRDefault="00476CD2" w:rsidP="00476CD2">
            <w:pPr>
              <w:pBdr>
                <w:bottom w:val="single" w:sz="2" w:space="0" w:color="auto"/>
              </w:pBdr>
              <w:spacing w:after="60"/>
              <w:rPr>
                <w:sz w:val="18"/>
                <w:szCs w:val="18"/>
              </w:rPr>
            </w:pPr>
            <w:r>
              <w:rPr>
                <w:sz w:val="18"/>
                <w:szCs w:val="18"/>
              </w:rPr>
              <w:t>Side</w:t>
            </w:r>
            <w:r w:rsidRPr="0089768C">
              <w:rPr>
                <w:sz w:val="18"/>
                <w:szCs w:val="18"/>
              </w:rPr>
              <w:t xml:space="preserve"> </w:t>
            </w:r>
            <w:r w:rsidRPr="0089768C">
              <w:rPr>
                <w:sz w:val="18"/>
                <w:szCs w:val="18"/>
              </w:rPr>
              <w:fldChar w:fldCharType="begin"/>
            </w:r>
            <w:r w:rsidRPr="0089768C">
              <w:rPr>
                <w:sz w:val="18"/>
                <w:szCs w:val="18"/>
              </w:rPr>
              <w:instrText xml:space="preserve"> PAGE </w:instrText>
            </w:r>
            <w:r w:rsidRPr="0089768C">
              <w:rPr>
                <w:sz w:val="18"/>
                <w:szCs w:val="18"/>
              </w:rPr>
              <w:fldChar w:fldCharType="separate"/>
            </w:r>
            <w:r w:rsidR="009E6431">
              <w:rPr>
                <w:noProof/>
                <w:sz w:val="18"/>
                <w:szCs w:val="18"/>
              </w:rPr>
              <w:t>1</w:t>
            </w:r>
            <w:r w:rsidRPr="0089768C">
              <w:rPr>
                <w:sz w:val="18"/>
                <w:szCs w:val="18"/>
              </w:rPr>
              <w:fldChar w:fldCharType="end"/>
            </w:r>
            <w:r w:rsidRPr="0089768C">
              <w:rPr>
                <w:sz w:val="18"/>
                <w:szCs w:val="18"/>
              </w:rPr>
              <w:t xml:space="preserve"> </w:t>
            </w:r>
            <w:r>
              <w:rPr>
                <w:sz w:val="18"/>
                <w:szCs w:val="18"/>
              </w:rPr>
              <w:t>av</w:t>
            </w:r>
            <w:r w:rsidRPr="0089768C">
              <w:rPr>
                <w:sz w:val="18"/>
                <w:szCs w:val="18"/>
              </w:rPr>
              <w:t xml:space="preserve"> </w:t>
            </w:r>
            <w:r w:rsidRPr="0089768C">
              <w:rPr>
                <w:sz w:val="18"/>
                <w:szCs w:val="18"/>
              </w:rPr>
              <w:fldChar w:fldCharType="begin"/>
            </w:r>
            <w:r w:rsidRPr="0089768C">
              <w:rPr>
                <w:sz w:val="18"/>
                <w:szCs w:val="18"/>
              </w:rPr>
              <w:instrText xml:space="preserve"> NUMPAGES  </w:instrText>
            </w:r>
            <w:r w:rsidRPr="0089768C">
              <w:rPr>
                <w:sz w:val="18"/>
                <w:szCs w:val="18"/>
              </w:rPr>
              <w:fldChar w:fldCharType="separate"/>
            </w:r>
            <w:r w:rsidR="009E6431">
              <w:rPr>
                <w:noProof/>
                <w:sz w:val="18"/>
                <w:szCs w:val="18"/>
              </w:rPr>
              <w:t>1</w:t>
            </w:r>
            <w:r w:rsidRPr="0089768C">
              <w:rPr>
                <w:sz w:val="18"/>
                <w:szCs w:val="18"/>
              </w:rPr>
              <w:fldChar w:fldCharType="end"/>
            </w:r>
          </w:p>
          <w:p w14:paraId="0B09AE4A" w14:textId="77777777" w:rsidR="00476CD2" w:rsidRPr="0089768C" w:rsidRDefault="00A37A8B" w:rsidP="00476CD2">
            <w:pPr>
              <w:pBdr>
                <w:bottom w:val="single" w:sz="2" w:space="0" w:color="auto"/>
              </w:pBdr>
              <w:spacing w:after="60"/>
              <w:rPr>
                <w:sz w:val="18"/>
                <w:szCs w:val="18"/>
              </w:rPr>
            </w:pPr>
          </w:p>
        </w:sdtContent>
      </w:sdt>
    </w:sdtContent>
  </w:sdt>
  <w:p w14:paraId="0D70115F" w14:textId="77777777" w:rsidR="00695E9B" w:rsidRPr="00476CD2" w:rsidRDefault="00695E9B" w:rsidP="00476CD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0EB7" w14:textId="77777777" w:rsidR="00A70ADF" w:rsidRDefault="00A70ADF" w:rsidP="00B40445">
      <w:pPr>
        <w:spacing w:after="0"/>
      </w:pPr>
      <w:r>
        <w:separator/>
      </w:r>
    </w:p>
  </w:footnote>
  <w:footnote w:type="continuationSeparator" w:id="0">
    <w:p w14:paraId="539BCEE8" w14:textId="77777777" w:rsidR="00A70ADF" w:rsidRDefault="00A70ADF" w:rsidP="00B404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2127" w14:textId="77777777" w:rsidR="00B40445" w:rsidRDefault="00B40445">
    <w:pPr>
      <w:pStyle w:val="Topptekst"/>
    </w:pPr>
    <w:r w:rsidRPr="00B40445">
      <w:rPr>
        <w:noProof/>
        <w:lang w:eastAsia="nb-NO"/>
      </w:rPr>
      <w:drawing>
        <wp:anchor distT="0" distB="0" distL="114300" distR="114300" simplePos="0" relativeHeight="251658240" behindDoc="0" locked="0" layoutInCell="1" allowOverlap="1" wp14:anchorId="22243B6D" wp14:editId="630896A4">
          <wp:simplePos x="0" y="0"/>
          <wp:positionH relativeFrom="page">
            <wp:posOffset>360045</wp:posOffset>
          </wp:positionH>
          <wp:positionV relativeFrom="page">
            <wp:posOffset>360045</wp:posOffset>
          </wp:positionV>
          <wp:extent cx="2854325" cy="725170"/>
          <wp:effectExtent l="0" t="0" r="3175" b="0"/>
          <wp:wrapNone/>
          <wp:docPr id="40" name="Grafik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54325" cy="72517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39E"/>
    <w:multiLevelType w:val="hybridMultilevel"/>
    <w:tmpl w:val="E13C6D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9E26E4"/>
    <w:multiLevelType w:val="hybridMultilevel"/>
    <w:tmpl w:val="68CCEF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95774E"/>
    <w:multiLevelType w:val="hybridMultilevel"/>
    <w:tmpl w:val="8632B536"/>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23A5AD8"/>
    <w:multiLevelType w:val="hybridMultilevel"/>
    <w:tmpl w:val="B404B5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96617881">
    <w:abstractNumId w:val="1"/>
  </w:num>
  <w:num w:numId="2" w16cid:durableId="688675428">
    <w:abstractNumId w:val="2"/>
  </w:num>
  <w:num w:numId="3" w16cid:durableId="1255045621">
    <w:abstractNumId w:val="3"/>
  </w:num>
  <w:num w:numId="4" w16cid:durableId="700013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70"/>
    <w:rsid w:val="00030C9B"/>
    <w:rsid w:val="000E3943"/>
    <w:rsid w:val="00106D09"/>
    <w:rsid w:val="0015412F"/>
    <w:rsid w:val="00176570"/>
    <w:rsid w:val="001A2959"/>
    <w:rsid w:val="001B1732"/>
    <w:rsid w:val="001E486D"/>
    <w:rsid w:val="00241AAF"/>
    <w:rsid w:val="002C05E9"/>
    <w:rsid w:val="002C4582"/>
    <w:rsid w:val="002E2A5D"/>
    <w:rsid w:val="002F378D"/>
    <w:rsid w:val="002F5883"/>
    <w:rsid w:val="00301FF9"/>
    <w:rsid w:val="00332449"/>
    <w:rsid w:val="003452FC"/>
    <w:rsid w:val="00395E70"/>
    <w:rsid w:val="00402FAA"/>
    <w:rsid w:val="00411A0B"/>
    <w:rsid w:val="004512D6"/>
    <w:rsid w:val="00465FF3"/>
    <w:rsid w:val="00476CD2"/>
    <w:rsid w:val="00496C69"/>
    <w:rsid w:val="004B0BF1"/>
    <w:rsid w:val="004F7A13"/>
    <w:rsid w:val="0052361F"/>
    <w:rsid w:val="00557665"/>
    <w:rsid w:val="005775C8"/>
    <w:rsid w:val="005A42C0"/>
    <w:rsid w:val="005B7036"/>
    <w:rsid w:val="00607708"/>
    <w:rsid w:val="00642BE5"/>
    <w:rsid w:val="00695E9B"/>
    <w:rsid w:val="006F2C54"/>
    <w:rsid w:val="0072076E"/>
    <w:rsid w:val="00743CFC"/>
    <w:rsid w:val="007A1790"/>
    <w:rsid w:val="007B1485"/>
    <w:rsid w:val="007B38DD"/>
    <w:rsid w:val="00802C54"/>
    <w:rsid w:val="00867E9F"/>
    <w:rsid w:val="00884DA9"/>
    <w:rsid w:val="0089768C"/>
    <w:rsid w:val="008E3ADE"/>
    <w:rsid w:val="00913B5B"/>
    <w:rsid w:val="009C2C45"/>
    <w:rsid w:val="009D0116"/>
    <w:rsid w:val="009E6431"/>
    <w:rsid w:val="00A05EFF"/>
    <w:rsid w:val="00A37A8B"/>
    <w:rsid w:val="00A41A0F"/>
    <w:rsid w:val="00A535CA"/>
    <w:rsid w:val="00A70ADF"/>
    <w:rsid w:val="00AA3A2B"/>
    <w:rsid w:val="00AD08E9"/>
    <w:rsid w:val="00AD3640"/>
    <w:rsid w:val="00B40445"/>
    <w:rsid w:val="00B471C2"/>
    <w:rsid w:val="00B5600F"/>
    <w:rsid w:val="00C14D4F"/>
    <w:rsid w:val="00C265D4"/>
    <w:rsid w:val="00D9776F"/>
    <w:rsid w:val="00E26D28"/>
    <w:rsid w:val="00E43EF5"/>
    <w:rsid w:val="00EA360B"/>
    <w:rsid w:val="00EC1DEE"/>
    <w:rsid w:val="00F313D2"/>
    <w:rsid w:val="00F94737"/>
    <w:rsid w:val="00FB3D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45B46D"/>
  <w15:chartTrackingRefBased/>
  <w15:docId w15:val="{98E983C2-291A-4485-B129-E041744A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60B"/>
    <w:pPr>
      <w:spacing w:after="260" w:line="240" w:lineRule="auto"/>
    </w:pPr>
  </w:style>
  <w:style w:type="paragraph" w:styleId="Overskrift1">
    <w:name w:val="heading 1"/>
    <w:basedOn w:val="Normal"/>
    <w:next w:val="Normal"/>
    <w:link w:val="Overskrift1Tegn"/>
    <w:uiPriority w:val="9"/>
    <w:qFormat/>
    <w:rsid w:val="00EA360B"/>
    <w:pPr>
      <w:keepNext/>
      <w:keepLines/>
      <w:spacing w:before="240" w:after="0"/>
      <w:outlineLvl w:val="0"/>
    </w:pPr>
    <w:rPr>
      <w:rFonts w:asciiTheme="majorHAnsi" w:eastAsiaTheme="majorEastAsia" w:hAnsiTheme="majorHAnsi" w:cstheme="majorBidi"/>
      <w:b/>
      <w:color w:val="000000" w:themeColor="text1"/>
      <w:szCs w:val="32"/>
    </w:rPr>
  </w:style>
  <w:style w:type="paragraph" w:styleId="Overskrift2">
    <w:name w:val="heading 2"/>
    <w:basedOn w:val="Style1"/>
    <w:next w:val="Normal"/>
    <w:link w:val="Overskrift2Tegn"/>
    <w:uiPriority w:val="9"/>
    <w:qFormat/>
    <w:rsid w:val="00EA360B"/>
    <w:pPr>
      <w:outlineLvl w:val="1"/>
    </w:pPr>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B40445"/>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E43EF5"/>
  </w:style>
  <w:style w:type="paragraph" w:styleId="Bunntekst">
    <w:name w:val="footer"/>
    <w:basedOn w:val="Normal"/>
    <w:link w:val="BunntekstTegn"/>
    <w:uiPriority w:val="99"/>
    <w:rsid w:val="00B40445"/>
    <w:pPr>
      <w:tabs>
        <w:tab w:val="center" w:pos="4536"/>
        <w:tab w:val="right" w:pos="9072"/>
      </w:tabs>
      <w:spacing w:after="0"/>
    </w:pPr>
  </w:style>
  <w:style w:type="character" w:customStyle="1" w:styleId="BunntekstTegn">
    <w:name w:val="Bunntekst Tegn"/>
    <w:basedOn w:val="Standardskriftforavsnitt"/>
    <w:link w:val="Bunntekst"/>
    <w:uiPriority w:val="99"/>
    <w:rsid w:val="00E43EF5"/>
  </w:style>
  <w:style w:type="table" w:styleId="Tabellrutenett">
    <w:name w:val="Table Grid"/>
    <w:basedOn w:val="Vanligtabell"/>
    <w:uiPriority w:val="59"/>
    <w:rsid w:val="0039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2E2A5D"/>
    <w:rPr>
      <w:color w:val="auto"/>
    </w:rPr>
  </w:style>
  <w:style w:type="character" w:customStyle="1" w:styleId="Overskrift1Tegn">
    <w:name w:val="Overskrift 1 Tegn"/>
    <w:basedOn w:val="Standardskriftforavsnitt"/>
    <w:link w:val="Overskrift1"/>
    <w:uiPriority w:val="9"/>
    <w:rsid w:val="00EA360B"/>
    <w:rPr>
      <w:rFonts w:asciiTheme="majorHAnsi" w:eastAsiaTheme="majorEastAsia" w:hAnsiTheme="majorHAnsi" w:cstheme="majorBidi"/>
      <w:b/>
      <w:color w:val="000000" w:themeColor="text1"/>
      <w:szCs w:val="32"/>
    </w:rPr>
  </w:style>
  <w:style w:type="paragraph" w:customStyle="1" w:styleId="Default">
    <w:name w:val="Default"/>
    <w:semiHidden/>
    <w:rsid w:val="002E2A5D"/>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semiHidden/>
    <w:rsid w:val="002E2A5D"/>
    <w:pPr>
      <w:spacing w:line="241" w:lineRule="atLeast"/>
    </w:pPr>
    <w:rPr>
      <w:color w:val="auto"/>
    </w:rPr>
  </w:style>
  <w:style w:type="character" w:customStyle="1" w:styleId="A0">
    <w:name w:val="A0"/>
    <w:uiPriority w:val="99"/>
    <w:semiHidden/>
    <w:rsid w:val="002E2A5D"/>
    <w:rPr>
      <w:color w:val="221E1F"/>
      <w:sz w:val="18"/>
      <w:szCs w:val="18"/>
    </w:rPr>
  </w:style>
  <w:style w:type="paragraph" w:customStyle="1" w:styleId="Style1">
    <w:name w:val="Style1"/>
    <w:basedOn w:val="Normal"/>
    <w:link w:val="Style1Char"/>
    <w:qFormat/>
    <w:rsid w:val="005775C8"/>
    <w:pPr>
      <w:keepNext/>
      <w:keepLines/>
      <w:spacing w:after="20"/>
    </w:pPr>
    <w:rPr>
      <w:i/>
      <w:lang w:val="da-DK"/>
    </w:rPr>
  </w:style>
  <w:style w:type="paragraph" w:styleId="Listeavsnitt">
    <w:name w:val="List Paragraph"/>
    <w:basedOn w:val="Normal"/>
    <w:uiPriority w:val="34"/>
    <w:semiHidden/>
    <w:qFormat/>
    <w:rsid w:val="001A2959"/>
    <w:pPr>
      <w:ind w:left="720"/>
      <w:contextualSpacing/>
    </w:pPr>
  </w:style>
  <w:style w:type="character" w:customStyle="1" w:styleId="Style1Char">
    <w:name w:val="Style1 Char"/>
    <w:basedOn w:val="Standardskriftforavsnitt"/>
    <w:link w:val="Style1"/>
    <w:rsid w:val="005775C8"/>
    <w:rPr>
      <w:i/>
      <w:lang w:val="da-DK"/>
    </w:rPr>
  </w:style>
  <w:style w:type="character" w:customStyle="1" w:styleId="Overskrift2Tegn">
    <w:name w:val="Overskrift 2 Tegn"/>
    <w:basedOn w:val="Standardskriftforavsnitt"/>
    <w:link w:val="Overskrift2"/>
    <w:uiPriority w:val="9"/>
    <w:rsid w:val="00EA360B"/>
    <w:rPr>
      <w:i/>
    </w:rPr>
  </w:style>
  <w:style w:type="character" w:customStyle="1" w:styleId="Georgia11spacing0afterChar">
    <w:name w:val="Georgia11_spacing_0_after Char"/>
    <w:basedOn w:val="Standardskriftforavsnitt"/>
    <w:link w:val="Georgia11spacing0after"/>
    <w:locked/>
    <w:rsid w:val="00465FF3"/>
    <w:rPr>
      <w:rFonts w:ascii="Georgia" w:eastAsia="Calibri" w:hAnsi="Georgia" w:cs="Times New Roman"/>
    </w:rPr>
  </w:style>
  <w:style w:type="paragraph" w:customStyle="1" w:styleId="Georgia11spacing0after">
    <w:name w:val="Georgia11_spacing_0_after"/>
    <w:basedOn w:val="Normal"/>
    <w:link w:val="Georgia11spacing0afterChar"/>
    <w:qFormat/>
    <w:rsid w:val="00465FF3"/>
    <w:pPr>
      <w:spacing w:after="0" w:line="276" w:lineRule="auto"/>
    </w:pPr>
    <w:rPr>
      <w:rFonts w:ascii="Georgia" w:eastAsia="Calibri" w:hAnsi="Georgia" w:cs="Times New Roman"/>
    </w:rPr>
  </w:style>
  <w:style w:type="character" w:customStyle="1" w:styleId="vrtx-authors2">
    <w:name w:val="vrtx-authors2"/>
    <w:basedOn w:val="Standardskriftforavsnitt"/>
    <w:rsid w:val="00465FF3"/>
    <w:rPr>
      <w:rFonts w:ascii="Georgia" w:hAnsi="Georgia" w:hint="default"/>
      <w:vanish/>
      <w:webHidden w:val="0"/>
      <w:specVanish/>
    </w:rPr>
  </w:style>
  <w:style w:type="paragraph" w:styleId="NormalWeb">
    <w:name w:val="Normal (Web)"/>
    <w:basedOn w:val="Normal"/>
    <w:uiPriority w:val="99"/>
    <w:unhideWhenUsed/>
    <w:rsid w:val="00332449"/>
    <w:pPr>
      <w:spacing w:before="100" w:beforeAutospacing="1" w:after="100" w:afterAutospacing="1"/>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332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234">
      <w:bodyDiv w:val="1"/>
      <w:marLeft w:val="0"/>
      <w:marRight w:val="0"/>
      <w:marTop w:val="0"/>
      <w:marBottom w:val="0"/>
      <w:divBdr>
        <w:top w:val="none" w:sz="0" w:space="0" w:color="auto"/>
        <w:left w:val="none" w:sz="0" w:space="0" w:color="auto"/>
        <w:bottom w:val="none" w:sz="0" w:space="0" w:color="auto"/>
        <w:right w:val="none" w:sz="0" w:space="0" w:color="auto"/>
      </w:divBdr>
    </w:div>
    <w:div w:id="395787392">
      <w:bodyDiv w:val="1"/>
      <w:marLeft w:val="0"/>
      <w:marRight w:val="0"/>
      <w:marTop w:val="0"/>
      <w:marBottom w:val="0"/>
      <w:divBdr>
        <w:top w:val="none" w:sz="0" w:space="0" w:color="auto"/>
        <w:left w:val="none" w:sz="0" w:space="0" w:color="auto"/>
        <w:bottom w:val="none" w:sz="0" w:space="0" w:color="auto"/>
        <w:right w:val="none" w:sz="0" w:space="0" w:color="auto"/>
      </w:divBdr>
    </w:div>
    <w:div w:id="681472340">
      <w:bodyDiv w:val="1"/>
      <w:marLeft w:val="0"/>
      <w:marRight w:val="0"/>
      <w:marTop w:val="0"/>
      <w:marBottom w:val="0"/>
      <w:divBdr>
        <w:top w:val="none" w:sz="0" w:space="0" w:color="auto"/>
        <w:left w:val="none" w:sz="0" w:space="0" w:color="auto"/>
        <w:bottom w:val="none" w:sz="0" w:space="0" w:color="auto"/>
        <w:right w:val="none" w:sz="0" w:space="0" w:color="auto"/>
      </w:divBdr>
    </w:div>
    <w:div w:id="1589583817">
      <w:bodyDiv w:val="1"/>
      <w:marLeft w:val="0"/>
      <w:marRight w:val="0"/>
      <w:marTop w:val="0"/>
      <w:marBottom w:val="0"/>
      <w:divBdr>
        <w:top w:val="none" w:sz="0" w:space="0" w:color="auto"/>
        <w:left w:val="none" w:sz="0" w:space="0" w:color="auto"/>
        <w:bottom w:val="none" w:sz="0" w:space="0" w:color="auto"/>
        <w:right w:val="none" w:sz="0" w:space="0" w:color="auto"/>
      </w:divBdr>
    </w:div>
    <w:div w:id="1640646980">
      <w:bodyDiv w:val="1"/>
      <w:marLeft w:val="0"/>
      <w:marRight w:val="0"/>
      <w:marTop w:val="0"/>
      <w:marBottom w:val="0"/>
      <w:divBdr>
        <w:top w:val="none" w:sz="0" w:space="0" w:color="auto"/>
        <w:left w:val="none" w:sz="0" w:space="0" w:color="auto"/>
        <w:bottom w:val="none" w:sz="0" w:space="0" w:color="auto"/>
        <w:right w:val="none" w:sz="0" w:space="0" w:color="auto"/>
      </w:divBdr>
    </w:div>
    <w:div w:id="1668942596">
      <w:bodyDiv w:val="1"/>
      <w:marLeft w:val="0"/>
      <w:marRight w:val="0"/>
      <w:marTop w:val="0"/>
      <w:marBottom w:val="0"/>
      <w:divBdr>
        <w:top w:val="none" w:sz="0" w:space="0" w:color="auto"/>
        <w:left w:val="none" w:sz="0" w:space="0" w:color="auto"/>
        <w:bottom w:val="none" w:sz="0" w:space="0" w:color="auto"/>
        <w:right w:val="none" w:sz="0" w:space="0" w:color="auto"/>
      </w:divBdr>
      <w:divsChild>
        <w:div w:id="1078136192">
          <w:marLeft w:val="0"/>
          <w:marRight w:val="0"/>
          <w:marTop w:val="0"/>
          <w:marBottom w:val="0"/>
          <w:divBdr>
            <w:top w:val="none" w:sz="0" w:space="0" w:color="auto"/>
            <w:left w:val="none" w:sz="0" w:space="0" w:color="auto"/>
            <w:bottom w:val="none" w:sz="0" w:space="0" w:color="auto"/>
            <w:right w:val="none" w:sz="0" w:space="0" w:color="auto"/>
          </w:divBdr>
        </w:div>
        <w:div w:id="1985309529">
          <w:marLeft w:val="0"/>
          <w:marRight w:val="0"/>
          <w:marTop w:val="0"/>
          <w:marBottom w:val="0"/>
          <w:divBdr>
            <w:top w:val="none" w:sz="0" w:space="0" w:color="auto"/>
            <w:left w:val="none" w:sz="0" w:space="0" w:color="auto"/>
            <w:bottom w:val="none" w:sz="0" w:space="0" w:color="auto"/>
            <w:right w:val="none" w:sz="0" w:space="0" w:color="auto"/>
          </w:divBdr>
        </w:div>
      </w:divsChild>
    </w:div>
    <w:div w:id="21385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11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4" ma:contentTypeDescription="Create a new document." ma:contentTypeScope="" ma:versionID="4861cb06711c43ae5b06507c0d33fa01">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676dbc1fb8e9648f94ba0d75529040bc"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5C48B-CB0D-47E0-9FC7-C7C9FE765157}">
  <ds:schemaRefs/>
</ds:datastoreItem>
</file>

<file path=customXml/itemProps2.xml><?xml version="1.0" encoding="utf-8"?>
<ds:datastoreItem xmlns:ds="http://schemas.openxmlformats.org/officeDocument/2006/customXml" ds:itemID="{18B2C9AB-6ECA-4DB0-998F-8AEE3B197019}">
  <ds:schemaRefs>
    <ds:schemaRef ds:uri="http://schemas.openxmlformats.org/officeDocument/2006/bibliography"/>
  </ds:schemaRefs>
</ds:datastoreItem>
</file>

<file path=customXml/itemProps3.xml><?xml version="1.0" encoding="utf-8"?>
<ds:datastoreItem xmlns:ds="http://schemas.openxmlformats.org/officeDocument/2006/customXml" ds:itemID="{3DB95084-D297-43D4-8346-79015E7939D0}">
  <ds:schemaRefs>
    <ds:schemaRef ds:uri="http://schemas.microsoft.com/office/2006/metadata/properties"/>
    <ds:schemaRef ds:uri="http://schemas.microsoft.com/office/infopath/2007/PartnerControls"/>
    <ds:schemaRef ds:uri="3b00a67f-9791-437e-b702-303a706ea042"/>
    <ds:schemaRef ds:uri="7dc3d6ed-56f1-49b6-b310-0ff680cfe62a"/>
  </ds:schemaRefs>
</ds:datastoreItem>
</file>

<file path=customXml/itemProps4.xml><?xml version="1.0" encoding="utf-8"?>
<ds:datastoreItem xmlns:ds="http://schemas.openxmlformats.org/officeDocument/2006/customXml" ds:itemID="{B7751D82-1737-428D-BF99-990D207B9BF1}">
  <ds:schemaRefs>
    <ds:schemaRef ds:uri="http://schemas.microsoft.com/sharepoint/v3/contenttype/forms"/>
  </ds:schemaRefs>
</ds:datastoreItem>
</file>

<file path=customXml/itemProps5.xml><?xml version="1.0" encoding="utf-8"?>
<ds:datastoreItem xmlns:ds="http://schemas.openxmlformats.org/officeDocument/2006/customXml" ds:itemID="{D66DB4E7-4C5E-4AC0-8C87-1E1C9B7F6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2942</Words>
  <Characters>15597</Characters>
  <Application>Microsoft Office Word</Application>
  <DocSecurity>0</DocSecurity>
  <Lines>129</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Ihlen</dc:creator>
  <cp:keywords/>
  <dc:description/>
  <cp:lastModifiedBy>Julie Seriana Melhus</cp:lastModifiedBy>
  <cp:revision>2</cp:revision>
  <cp:lastPrinted>2023-06-05T10:07:00Z</cp:lastPrinted>
  <dcterms:created xsi:type="dcterms:W3CDTF">2023-06-12T08:52:00Z</dcterms:created>
  <dcterms:modified xsi:type="dcterms:W3CDTF">2023-06-12T08:52:00Z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y fmtid="{D5CDD505-2E9C-101B-9397-08002B2CF9AE}" pid="4" name="MediaServiceImageTags">
    <vt:lpwstr/>
  </property>
</Properties>
</file>