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F3" w:rsidRPr="009B0895" w:rsidRDefault="004576E2">
      <w:pPr>
        <w:rPr>
          <w:sz w:val="28"/>
          <w:szCs w:val="28"/>
          <w:lang w:val="en-US"/>
        </w:rPr>
      </w:pPr>
      <w:r w:rsidRPr="009B0895">
        <w:rPr>
          <w:sz w:val="28"/>
          <w:szCs w:val="28"/>
          <w:lang w:val="en-US"/>
        </w:rPr>
        <w:t>G</w:t>
      </w:r>
      <w:r w:rsidR="001B282F" w:rsidRPr="009B0895">
        <w:rPr>
          <w:sz w:val="28"/>
          <w:szCs w:val="28"/>
          <w:lang w:val="en-US"/>
        </w:rPr>
        <w:t>uideline-</w:t>
      </w:r>
      <w:r w:rsidRPr="009B0895">
        <w:rPr>
          <w:sz w:val="28"/>
          <w:szCs w:val="28"/>
          <w:lang w:val="en-US"/>
        </w:rPr>
        <w:t>5401-h-20</w:t>
      </w:r>
    </w:p>
    <w:p w:rsidR="004576E2" w:rsidRPr="009B0895" w:rsidRDefault="004576E2">
      <w:pPr>
        <w:rPr>
          <w:lang w:val="en-US"/>
        </w:rPr>
      </w:pPr>
    </w:p>
    <w:p w:rsidR="00A23536" w:rsidRDefault="00A23536" w:rsidP="00A23536">
      <w:pPr>
        <w:rPr>
          <w:lang w:val="en-US"/>
        </w:rPr>
      </w:pPr>
      <w:r w:rsidRPr="002764C5">
        <w:rPr>
          <w:lang w:val="en-US"/>
        </w:rPr>
        <w:t>This was a</w:t>
      </w:r>
      <w:r>
        <w:rPr>
          <w:lang w:val="en-US"/>
        </w:rPr>
        <w:t>n open-book</w:t>
      </w:r>
      <w:r w:rsidRPr="002764C5">
        <w:rPr>
          <w:lang w:val="en-US"/>
        </w:rPr>
        <w:t xml:space="preserve"> home exam (due to covid-19) where the candidates had 48 hours</w:t>
      </w:r>
      <w:r>
        <w:rPr>
          <w:lang w:val="en-US"/>
        </w:rPr>
        <w:t xml:space="preserve"> and a word limit of 3.000</w:t>
      </w:r>
      <w:r w:rsidRPr="002764C5">
        <w:rPr>
          <w:lang w:val="en-US"/>
        </w:rPr>
        <w:t xml:space="preserve"> (as a standard for most exams). </w:t>
      </w:r>
      <w:r>
        <w:rPr>
          <w:lang w:val="en-US"/>
        </w:rPr>
        <w:t xml:space="preserve">They had therefore a generous time limit, however within a restricted format. This means that the reasoning of the respective answers must play an important part: have they succeeded in spotting the most central legal questions and giving a compressed and balanced reasoning for their answers? </w:t>
      </w:r>
    </w:p>
    <w:p w:rsidR="00A23536" w:rsidRDefault="00A23536" w:rsidP="00A23536">
      <w:pPr>
        <w:rPr>
          <w:lang w:val="en-US"/>
        </w:rPr>
      </w:pPr>
      <w:r>
        <w:rPr>
          <w:lang w:val="en-US"/>
        </w:rPr>
        <w:t>Moreover, by decision of the Deans (</w:t>
      </w:r>
      <w:proofErr w:type="spellStart"/>
      <w:r>
        <w:rPr>
          <w:lang w:val="en-US"/>
        </w:rPr>
        <w:t>studiedekanv</w:t>
      </w:r>
      <w:r w:rsidR="00942EB6">
        <w:rPr>
          <w:lang w:val="en-US"/>
        </w:rPr>
        <w:t>edtak</w:t>
      </w:r>
      <w:proofErr w:type="spellEnd"/>
      <w:r w:rsidR="00942EB6">
        <w:rPr>
          <w:lang w:val="en-US"/>
        </w:rPr>
        <w:t xml:space="preserve">) of 20 November, </w:t>
      </w:r>
      <w:r>
        <w:rPr>
          <w:lang w:val="en-US"/>
        </w:rPr>
        <w:t xml:space="preserve">I </w:t>
      </w:r>
      <w:proofErr w:type="gramStart"/>
      <w:r>
        <w:rPr>
          <w:lang w:val="en-US"/>
        </w:rPr>
        <w:t>am requested</w:t>
      </w:r>
      <w:proofErr w:type="gramEnd"/>
      <w:r>
        <w:rPr>
          <w:lang w:val="en-US"/>
        </w:rPr>
        <w:t xml:space="preserve"> to describe – as relevant information to markers – how the situation of covid-19 </w:t>
      </w:r>
      <w:r w:rsidR="00942EB6">
        <w:rPr>
          <w:lang w:val="en-US"/>
        </w:rPr>
        <w:t xml:space="preserve">has influenced the efficiency of </w:t>
      </w:r>
      <w:r>
        <w:rPr>
          <w:lang w:val="en-US"/>
        </w:rPr>
        <w:t xml:space="preserve">teaching of this course (jus 5402). In that respect, I would generally state: </w:t>
      </w:r>
    </w:p>
    <w:p w:rsidR="00A23536" w:rsidRDefault="00A23536" w:rsidP="00A23536">
      <w:pPr>
        <w:rPr>
          <w:lang w:val="en-US"/>
        </w:rPr>
      </w:pPr>
      <w:r>
        <w:rPr>
          <w:lang w:val="en-US"/>
        </w:rPr>
        <w:t xml:space="preserve">All teaching has taken place digitally. This means that the otherwise flexibility of students putting questions during class has been significantly restricted. Although the teacher allows for questions, typically at the end of the video session, this is not equivalent to opening for </w:t>
      </w:r>
      <w:proofErr w:type="spellStart"/>
      <w:proofErr w:type="gramStart"/>
      <w:r>
        <w:rPr>
          <w:lang w:val="en-US"/>
        </w:rPr>
        <w:t>q&amp;a’s</w:t>
      </w:r>
      <w:proofErr w:type="spellEnd"/>
      <w:proofErr w:type="gramEnd"/>
      <w:r>
        <w:rPr>
          <w:lang w:val="en-US"/>
        </w:rPr>
        <w:t xml:space="preserve"> in a physic</w:t>
      </w:r>
      <w:r w:rsidR="00942EB6">
        <w:rPr>
          <w:lang w:val="en-US"/>
        </w:rPr>
        <w:t>al environment; the threshold for</w:t>
      </w:r>
      <w:r>
        <w:rPr>
          <w:lang w:val="en-US"/>
        </w:rPr>
        <w:t xml:space="preserve"> putting questions is different, there is no opportunity to stay behind and put questions to the teacher in person, etc. The negative effect of this is hard to predict, but my suspicion is that it is significant, perhaps most so for students who by nature are of reserved inclination.</w:t>
      </w:r>
    </w:p>
    <w:p w:rsidR="00A23536" w:rsidRDefault="00A23536" w:rsidP="00A23536">
      <w:pPr>
        <w:rPr>
          <w:lang w:val="en-US"/>
        </w:rPr>
      </w:pPr>
      <w:r>
        <w:rPr>
          <w:lang w:val="en-US"/>
        </w:rPr>
        <w:t>The Dean</w:t>
      </w:r>
      <w:r w:rsidR="00942EB6">
        <w:rPr>
          <w:lang w:val="en-US"/>
        </w:rPr>
        <w:t>s also request</w:t>
      </w:r>
      <w:r>
        <w:rPr>
          <w:lang w:val="en-US"/>
        </w:rPr>
        <w:t xml:space="preserve"> that the following statement </w:t>
      </w:r>
      <w:proofErr w:type="gramStart"/>
      <w:r>
        <w:rPr>
          <w:lang w:val="en-US"/>
        </w:rPr>
        <w:t>be made</w:t>
      </w:r>
      <w:proofErr w:type="gramEnd"/>
      <w:r>
        <w:rPr>
          <w:lang w:val="en-US"/>
        </w:rPr>
        <w:t xml:space="preserve"> known to markers, as part of these guidelines (in translation): “The pandemics has made the general learning environment (‘den </w:t>
      </w:r>
      <w:proofErr w:type="spellStart"/>
      <w:r>
        <w:rPr>
          <w:lang w:val="en-US"/>
        </w:rPr>
        <w:t>generelle</w:t>
      </w:r>
      <w:proofErr w:type="spellEnd"/>
      <w:r>
        <w:rPr>
          <w:lang w:val="en-US"/>
        </w:rPr>
        <w:t xml:space="preserve"> </w:t>
      </w:r>
      <w:proofErr w:type="spellStart"/>
      <w:r>
        <w:rPr>
          <w:lang w:val="en-US"/>
        </w:rPr>
        <w:t>studiesituasjonenen</w:t>
      </w:r>
      <w:proofErr w:type="spellEnd"/>
      <w:r>
        <w:rPr>
          <w:lang w:val="en-US"/>
        </w:rPr>
        <w:t xml:space="preserve">’) very demanding this semester. The marking shall have regard to this fact. Any doubt as to the proper grade shall be resolved in the candidate’s </w:t>
      </w:r>
      <w:proofErr w:type="spellStart"/>
      <w:r>
        <w:rPr>
          <w:lang w:val="en-US"/>
        </w:rPr>
        <w:t>favour</w:t>
      </w:r>
      <w:proofErr w:type="spellEnd"/>
      <w:r>
        <w:rPr>
          <w:lang w:val="en-US"/>
        </w:rPr>
        <w:t>.”</w:t>
      </w:r>
    </w:p>
    <w:p w:rsidR="004576E2" w:rsidRDefault="004576E2">
      <w:pPr>
        <w:rPr>
          <w:lang w:val="en-US"/>
        </w:rPr>
      </w:pPr>
    </w:p>
    <w:p w:rsidR="00A23536" w:rsidRDefault="009B0895">
      <w:pPr>
        <w:rPr>
          <w:lang w:val="en-US"/>
        </w:rPr>
      </w:pPr>
      <w:r>
        <w:rPr>
          <w:lang w:val="en-US"/>
        </w:rPr>
        <w:t>Part I</w:t>
      </w:r>
    </w:p>
    <w:p w:rsidR="004A5D4A" w:rsidRDefault="00D64640">
      <w:pPr>
        <w:rPr>
          <w:lang w:val="en-US"/>
        </w:rPr>
      </w:pPr>
      <w:r>
        <w:rPr>
          <w:lang w:val="en-US"/>
        </w:rPr>
        <w:t>Th</w:t>
      </w:r>
      <w:r w:rsidR="009B0895">
        <w:rPr>
          <w:lang w:val="en-US"/>
        </w:rPr>
        <w:t>e case concerns</w:t>
      </w:r>
      <w:r>
        <w:rPr>
          <w:lang w:val="en-US"/>
        </w:rPr>
        <w:t xml:space="preserve"> part </w:t>
      </w:r>
      <w:r w:rsidR="004A5D4A">
        <w:rPr>
          <w:lang w:val="en-US"/>
        </w:rPr>
        <w:t xml:space="preserve">voyage </w:t>
      </w:r>
      <w:r>
        <w:rPr>
          <w:lang w:val="en-US"/>
        </w:rPr>
        <w:t>chartering which is to some extent addressed in the syllabus book</w:t>
      </w:r>
      <w:r w:rsidR="009B0895">
        <w:rPr>
          <w:lang w:val="en-US"/>
        </w:rPr>
        <w:t xml:space="preserve"> (the English 2017 version p</w:t>
      </w:r>
      <w:r w:rsidR="004A5D4A">
        <w:rPr>
          <w:lang w:val="en-US"/>
        </w:rPr>
        <w:t xml:space="preserve"> 453).</w:t>
      </w:r>
      <w:r>
        <w:rPr>
          <w:lang w:val="en-US"/>
        </w:rPr>
        <w:t xml:space="preserve"> Th</w:t>
      </w:r>
      <w:r w:rsidR="009B0895">
        <w:rPr>
          <w:lang w:val="en-US"/>
        </w:rPr>
        <w:t>is</w:t>
      </w:r>
      <w:r>
        <w:rPr>
          <w:lang w:val="en-US"/>
        </w:rPr>
        <w:t xml:space="preserve"> fact </w:t>
      </w:r>
      <w:r w:rsidR="00942EB6">
        <w:rPr>
          <w:lang w:val="en-US"/>
        </w:rPr>
        <w:t xml:space="preserve">of part chartering </w:t>
      </w:r>
      <w:r>
        <w:rPr>
          <w:lang w:val="en-US"/>
        </w:rPr>
        <w:t>may br</w:t>
      </w:r>
      <w:r w:rsidR="009B0895">
        <w:rPr>
          <w:lang w:val="en-US"/>
        </w:rPr>
        <w:t>ing confusion as to how to direct</w:t>
      </w:r>
      <w:r>
        <w:rPr>
          <w:lang w:val="en-US"/>
        </w:rPr>
        <w:t xml:space="preserve"> oneself in the respective chapters of the Code, </w:t>
      </w:r>
      <w:proofErr w:type="spellStart"/>
      <w:r>
        <w:rPr>
          <w:lang w:val="en-US"/>
        </w:rPr>
        <w:t>ch</w:t>
      </w:r>
      <w:r w:rsidR="004A5D4A">
        <w:rPr>
          <w:lang w:val="en-US"/>
        </w:rPr>
        <w:t>.</w:t>
      </w:r>
      <w:proofErr w:type="spellEnd"/>
      <w:r>
        <w:rPr>
          <w:lang w:val="en-US"/>
        </w:rPr>
        <w:t xml:space="preserve"> 13 or 14.</w:t>
      </w:r>
      <w:r w:rsidR="00942EB6">
        <w:rPr>
          <w:lang w:val="en-US"/>
        </w:rPr>
        <w:t xml:space="preserve"> </w:t>
      </w:r>
      <w:r>
        <w:rPr>
          <w:lang w:val="en-US"/>
        </w:rPr>
        <w:t xml:space="preserve">The essence is that it is </w:t>
      </w:r>
      <w:r w:rsidR="004A5D4A">
        <w:rPr>
          <w:lang w:val="en-US"/>
        </w:rPr>
        <w:t xml:space="preserve">voyage </w:t>
      </w:r>
      <w:r>
        <w:rPr>
          <w:lang w:val="en-US"/>
        </w:rPr>
        <w:t>chartering and thus</w:t>
      </w:r>
      <w:r w:rsidR="004A5D4A">
        <w:rPr>
          <w:lang w:val="en-US"/>
        </w:rPr>
        <w:t xml:space="preserve"> with</w:t>
      </w:r>
      <w:r>
        <w:rPr>
          <w:lang w:val="en-US"/>
        </w:rPr>
        <w:t xml:space="preserve"> tramp bills of lading </w:t>
      </w:r>
      <w:r w:rsidR="004A5D4A">
        <w:rPr>
          <w:lang w:val="en-US"/>
        </w:rPr>
        <w:t xml:space="preserve">being issued, </w:t>
      </w:r>
      <w:r>
        <w:rPr>
          <w:lang w:val="en-US"/>
        </w:rPr>
        <w:t>giving third parties the rights as e</w:t>
      </w:r>
      <w:r w:rsidR="00007C53">
        <w:rPr>
          <w:lang w:val="en-US"/>
        </w:rPr>
        <w:t xml:space="preserve">nshrined </w:t>
      </w:r>
      <w:r>
        <w:rPr>
          <w:lang w:val="en-US"/>
        </w:rPr>
        <w:t xml:space="preserve">in </w:t>
      </w:r>
      <w:proofErr w:type="spellStart"/>
      <w:r>
        <w:rPr>
          <w:lang w:val="en-US"/>
        </w:rPr>
        <w:t>ch.</w:t>
      </w:r>
      <w:proofErr w:type="spellEnd"/>
      <w:r>
        <w:rPr>
          <w:lang w:val="en-US"/>
        </w:rPr>
        <w:t xml:space="preserve"> 13, see s. 325 </w:t>
      </w:r>
      <w:r w:rsidR="004A5D4A">
        <w:rPr>
          <w:lang w:val="en-US"/>
        </w:rPr>
        <w:t xml:space="preserve">which refers to </w:t>
      </w:r>
      <w:r>
        <w:rPr>
          <w:lang w:val="en-US"/>
        </w:rPr>
        <w:t>s. 253</w:t>
      </w:r>
      <w:r w:rsidR="004A5D4A">
        <w:rPr>
          <w:lang w:val="en-US"/>
        </w:rPr>
        <w:t xml:space="preserve"> and more specifically </w:t>
      </w:r>
      <w:r w:rsidR="00007C53">
        <w:rPr>
          <w:lang w:val="en-US"/>
        </w:rPr>
        <w:t>to sections 274-2</w:t>
      </w:r>
      <w:r w:rsidR="004A5D4A">
        <w:rPr>
          <w:lang w:val="en-US"/>
        </w:rPr>
        <w:t xml:space="preserve">90. Moreover, since the case concerns cargo damage, also s. 347 comes into play, with a similar reference to the provisions of </w:t>
      </w:r>
      <w:proofErr w:type="spellStart"/>
      <w:r w:rsidR="004A5D4A">
        <w:rPr>
          <w:lang w:val="en-US"/>
        </w:rPr>
        <w:t>ch.</w:t>
      </w:r>
      <w:proofErr w:type="spellEnd"/>
      <w:r w:rsidR="004A5D4A">
        <w:rPr>
          <w:lang w:val="en-US"/>
        </w:rPr>
        <w:t xml:space="preserve"> 13. </w:t>
      </w:r>
    </w:p>
    <w:p w:rsidR="00476010" w:rsidRDefault="004A5D4A">
      <w:pPr>
        <w:rPr>
          <w:lang w:val="en-US"/>
        </w:rPr>
      </w:pPr>
      <w:r>
        <w:rPr>
          <w:lang w:val="en-US"/>
        </w:rPr>
        <w:t>T</w:t>
      </w:r>
      <w:r w:rsidR="00942EB6">
        <w:rPr>
          <w:lang w:val="en-US"/>
        </w:rPr>
        <w:t>he C</w:t>
      </w:r>
      <w:r w:rsidR="00476010">
        <w:rPr>
          <w:lang w:val="en-US"/>
        </w:rPr>
        <w:t xml:space="preserve">ode </w:t>
      </w:r>
      <w:proofErr w:type="gramStart"/>
      <w:r w:rsidR="00476010">
        <w:rPr>
          <w:lang w:val="en-US"/>
        </w:rPr>
        <w:t>applies</w:t>
      </w:r>
      <w:proofErr w:type="gramEnd"/>
      <w:r>
        <w:rPr>
          <w:lang w:val="en-US"/>
        </w:rPr>
        <w:t xml:space="preserve"> as the discharge port is located in Norway, </w:t>
      </w:r>
      <w:r w:rsidR="00476010">
        <w:rPr>
          <w:lang w:val="en-US"/>
        </w:rPr>
        <w:t>s. 252</w:t>
      </w:r>
      <w:r>
        <w:rPr>
          <w:lang w:val="en-US"/>
        </w:rPr>
        <w:t xml:space="preserve">, 2, 2). </w:t>
      </w:r>
    </w:p>
    <w:p w:rsidR="00A23536" w:rsidRDefault="00A23536">
      <w:pPr>
        <w:rPr>
          <w:lang w:val="en-US"/>
        </w:rPr>
      </w:pPr>
      <w:r>
        <w:rPr>
          <w:lang w:val="en-US"/>
        </w:rPr>
        <w:t xml:space="preserve">Q 1: </w:t>
      </w:r>
    </w:p>
    <w:p w:rsidR="00007C53" w:rsidRDefault="004A5D4A">
      <w:pPr>
        <w:rPr>
          <w:lang w:val="en-US"/>
        </w:rPr>
      </w:pPr>
      <w:r>
        <w:rPr>
          <w:lang w:val="en-US"/>
        </w:rPr>
        <w:t xml:space="preserve">The aspect of </w:t>
      </w:r>
      <w:proofErr w:type="spellStart"/>
      <w:r>
        <w:rPr>
          <w:lang w:val="en-US"/>
        </w:rPr>
        <w:t>f</w:t>
      </w:r>
      <w:r w:rsidR="00A23536">
        <w:rPr>
          <w:lang w:val="en-US"/>
        </w:rPr>
        <w:t>io</w:t>
      </w:r>
      <w:proofErr w:type="spellEnd"/>
      <w:r w:rsidR="00A23536">
        <w:rPr>
          <w:lang w:val="en-US"/>
        </w:rPr>
        <w:t xml:space="preserve"> </w:t>
      </w:r>
      <w:r>
        <w:rPr>
          <w:lang w:val="en-US"/>
        </w:rPr>
        <w:t xml:space="preserve">in the case </w:t>
      </w:r>
      <w:proofErr w:type="gramStart"/>
      <w:r w:rsidR="00A23536">
        <w:rPr>
          <w:lang w:val="en-US"/>
        </w:rPr>
        <w:t xml:space="preserve">is </w:t>
      </w:r>
      <w:r>
        <w:rPr>
          <w:lang w:val="en-US"/>
        </w:rPr>
        <w:t>intended</w:t>
      </w:r>
      <w:proofErr w:type="gramEnd"/>
      <w:r>
        <w:rPr>
          <w:lang w:val="en-US"/>
        </w:rPr>
        <w:t xml:space="preserve"> as </w:t>
      </w:r>
      <w:r w:rsidR="00A23536">
        <w:rPr>
          <w:lang w:val="en-US"/>
        </w:rPr>
        <w:t xml:space="preserve">a </w:t>
      </w:r>
      <w:r w:rsidR="00A37515">
        <w:rPr>
          <w:lang w:val="en-US"/>
        </w:rPr>
        <w:t>red he</w:t>
      </w:r>
      <w:r w:rsidR="009B0895">
        <w:rPr>
          <w:lang w:val="en-US"/>
        </w:rPr>
        <w:t>r</w:t>
      </w:r>
      <w:r w:rsidR="00A37515">
        <w:rPr>
          <w:lang w:val="en-US"/>
        </w:rPr>
        <w:t>ring</w:t>
      </w:r>
      <w:r w:rsidR="00007C53">
        <w:rPr>
          <w:lang w:val="en-US"/>
        </w:rPr>
        <w:t xml:space="preserve">. </w:t>
      </w:r>
      <w:proofErr w:type="spellStart"/>
      <w:r w:rsidR="00007C53">
        <w:rPr>
          <w:lang w:val="en-US"/>
        </w:rPr>
        <w:t>Fio</w:t>
      </w:r>
      <w:proofErr w:type="spellEnd"/>
      <w:r w:rsidR="00007C53">
        <w:rPr>
          <w:lang w:val="en-US"/>
        </w:rPr>
        <w:t xml:space="preserve"> </w:t>
      </w:r>
      <w:r w:rsidR="00A23536">
        <w:rPr>
          <w:lang w:val="en-US"/>
        </w:rPr>
        <w:t>is in itself a potentially complex question, discussed in the syllabus</w:t>
      </w:r>
      <w:r w:rsidR="00007C53">
        <w:rPr>
          <w:lang w:val="en-US"/>
        </w:rPr>
        <w:t xml:space="preserve"> book (</w:t>
      </w:r>
      <w:r w:rsidR="00A23536">
        <w:rPr>
          <w:lang w:val="en-US"/>
        </w:rPr>
        <w:t>p</w:t>
      </w:r>
      <w:r w:rsidR="00007C53">
        <w:rPr>
          <w:lang w:val="en-US"/>
        </w:rPr>
        <w:t xml:space="preserve"> 392-94, 469-70, 488)</w:t>
      </w:r>
      <w:r w:rsidR="00A23536">
        <w:rPr>
          <w:lang w:val="en-US"/>
        </w:rPr>
        <w:t xml:space="preserve">. However, in this case the </w:t>
      </w:r>
      <w:proofErr w:type="spellStart"/>
      <w:r w:rsidR="00A23536">
        <w:rPr>
          <w:lang w:val="en-US"/>
        </w:rPr>
        <w:t>fio</w:t>
      </w:r>
      <w:proofErr w:type="spellEnd"/>
      <w:r w:rsidR="00A23536">
        <w:rPr>
          <w:lang w:val="en-US"/>
        </w:rPr>
        <w:t>-type situation did not involve performance under</w:t>
      </w:r>
      <w:r w:rsidR="00007C53">
        <w:rPr>
          <w:lang w:val="en-US"/>
        </w:rPr>
        <w:t xml:space="preserve"> </w:t>
      </w:r>
      <w:r w:rsidR="00A23536">
        <w:rPr>
          <w:lang w:val="en-US"/>
        </w:rPr>
        <w:t>the relevant charter / bill of lading</w:t>
      </w:r>
      <w:r w:rsidR="00007C53">
        <w:rPr>
          <w:lang w:val="en-US"/>
        </w:rPr>
        <w:t xml:space="preserve"> but </w:t>
      </w:r>
      <w:proofErr w:type="spellStart"/>
      <w:r w:rsidR="00007C53">
        <w:rPr>
          <w:lang w:val="en-US"/>
        </w:rPr>
        <w:t>fio</w:t>
      </w:r>
      <w:proofErr w:type="spellEnd"/>
      <w:r w:rsidR="00007C53">
        <w:rPr>
          <w:lang w:val="en-US"/>
        </w:rPr>
        <w:t xml:space="preserve"> under </w:t>
      </w:r>
      <w:r w:rsidR="00A23536">
        <w:rPr>
          <w:lang w:val="en-US"/>
        </w:rPr>
        <w:t>a different part cargo</w:t>
      </w:r>
      <w:r w:rsidR="00D160DF">
        <w:rPr>
          <w:lang w:val="en-US"/>
        </w:rPr>
        <w:t xml:space="preserve"> / part charter</w:t>
      </w:r>
      <w:r w:rsidR="00A23536">
        <w:rPr>
          <w:lang w:val="en-US"/>
        </w:rPr>
        <w:t xml:space="preserve">. </w:t>
      </w:r>
      <w:r w:rsidR="00007C53">
        <w:rPr>
          <w:lang w:val="en-US"/>
        </w:rPr>
        <w:t xml:space="preserve">In other words, it does not raise classic </w:t>
      </w:r>
      <w:proofErr w:type="spellStart"/>
      <w:r w:rsidR="00007C53">
        <w:rPr>
          <w:lang w:val="en-US"/>
        </w:rPr>
        <w:t>fio</w:t>
      </w:r>
      <w:proofErr w:type="spellEnd"/>
      <w:r w:rsidR="00007C53">
        <w:rPr>
          <w:lang w:val="en-US"/>
        </w:rPr>
        <w:t xml:space="preserve">-type discussions </w:t>
      </w:r>
      <w:r w:rsidR="00D160DF">
        <w:rPr>
          <w:lang w:val="en-US"/>
        </w:rPr>
        <w:t xml:space="preserve">as to </w:t>
      </w:r>
      <w:r w:rsidR="00007C53">
        <w:rPr>
          <w:lang w:val="en-US"/>
        </w:rPr>
        <w:t xml:space="preserve">whether the claimant must accept damage caused under loading/discharging operations of the relevant cargo due to agreed </w:t>
      </w:r>
      <w:proofErr w:type="spellStart"/>
      <w:r w:rsidR="00007C53">
        <w:rPr>
          <w:lang w:val="en-US"/>
        </w:rPr>
        <w:t>fio</w:t>
      </w:r>
      <w:proofErr w:type="spellEnd"/>
      <w:r w:rsidR="00007C53">
        <w:rPr>
          <w:lang w:val="en-US"/>
        </w:rPr>
        <w:t xml:space="preserve">, but </w:t>
      </w:r>
      <w:r w:rsidR="00224404">
        <w:rPr>
          <w:lang w:val="en-US"/>
        </w:rPr>
        <w:t xml:space="preserve">damage caused under a separate/different cargo operation, for a different charterer. When stating that this is a red herring, the idea is that for candidates to deal with </w:t>
      </w:r>
      <w:proofErr w:type="spellStart"/>
      <w:r w:rsidR="00224404">
        <w:rPr>
          <w:lang w:val="en-US"/>
        </w:rPr>
        <w:t>fio</w:t>
      </w:r>
      <w:proofErr w:type="spellEnd"/>
      <w:r w:rsidR="00224404">
        <w:rPr>
          <w:lang w:val="en-US"/>
        </w:rPr>
        <w:t xml:space="preserve"> indiscriminately of whether the situation involved (in the intermediate port) pertains to the charter / bill of lading at hand or not, gives a flawed starting point for the discussion.</w:t>
      </w:r>
    </w:p>
    <w:p w:rsidR="00BC5F60" w:rsidRDefault="00A23536">
      <w:pPr>
        <w:rPr>
          <w:lang w:val="en-US"/>
        </w:rPr>
      </w:pPr>
      <w:r>
        <w:rPr>
          <w:lang w:val="en-US"/>
        </w:rPr>
        <w:lastRenderedPageBreak/>
        <w:t xml:space="preserve">The difficult question is therefore whether the relevant stevedores are to </w:t>
      </w:r>
      <w:proofErr w:type="gramStart"/>
      <w:r>
        <w:rPr>
          <w:lang w:val="en-US"/>
        </w:rPr>
        <w:t>be considered</w:t>
      </w:r>
      <w:proofErr w:type="gramEnd"/>
      <w:r>
        <w:rPr>
          <w:lang w:val="en-US"/>
        </w:rPr>
        <w:t xml:space="preserve"> servants of the </w:t>
      </w:r>
      <w:proofErr w:type="spellStart"/>
      <w:r>
        <w:rPr>
          <w:lang w:val="en-US"/>
        </w:rPr>
        <w:t>shipowner</w:t>
      </w:r>
      <w:proofErr w:type="spellEnd"/>
      <w:r>
        <w:rPr>
          <w:lang w:val="en-US"/>
        </w:rPr>
        <w:t xml:space="preserve"> for purposes of performing </w:t>
      </w:r>
      <w:r w:rsidR="00224404">
        <w:rPr>
          <w:lang w:val="en-US"/>
        </w:rPr>
        <w:t xml:space="preserve">the charter (bills of lading) at hand. </w:t>
      </w:r>
      <w:proofErr w:type="gramStart"/>
      <w:r w:rsidR="00224404">
        <w:rPr>
          <w:lang w:val="en-US"/>
        </w:rPr>
        <w:t xml:space="preserve">In this respect one should probably be fairly generous with candidates’ type of reasoning (since they are not trained in addressing such constellation) but </w:t>
      </w:r>
      <w:r w:rsidR="00BC5F60">
        <w:rPr>
          <w:lang w:val="en-US"/>
        </w:rPr>
        <w:t>the essence must be that one starts in the ordinary end of asking whether the damage occurred while the cargo was in the carrier’s possession (</w:t>
      </w:r>
      <w:r w:rsidR="00D160DF">
        <w:rPr>
          <w:lang w:val="en-US"/>
        </w:rPr>
        <w:t xml:space="preserve">MC </w:t>
      </w:r>
      <w:r w:rsidR="00BC5F60">
        <w:rPr>
          <w:lang w:val="en-US"/>
        </w:rPr>
        <w:t>s. 347, ref 274), which clearly it did, and with the further question whether the relevant stevedores should be deemed the carrier’s servants under s. 275, ref 347.</w:t>
      </w:r>
      <w:proofErr w:type="gramEnd"/>
      <w:r w:rsidR="00BC5F60">
        <w:rPr>
          <w:lang w:val="en-US"/>
        </w:rPr>
        <w:t xml:space="preserve"> </w:t>
      </w:r>
    </w:p>
    <w:p w:rsidR="00171793" w:rsidRDefault="00A23536">
      <w:pPr>
        <w:rPr>
          <w:lang w:val="en-US"/>
        </w:rPr>
      </w:pPr>
      <w:r>
        <w:rPr>
          <w:lang w:val="en-US"/>
        </w:rPr>
        <w:t xml:space="preserve">That is, again, a </w:t>
      </w:r>
      <w:r w:rsidR="00BC5F60">
        <w:rPr>
          <w:lang w:val="en-US"/>
        </w:rPr>
        <w:t xml:space="preserve">potentially </w:t>
      </w:r>
      <w:r>
        <w:rPr>
          <w:lang w:val="en-US"/>
        </w:rPr>
        <w:t>difficult que</w:t>
      </w:r>
      <w:r w:rsidR="00BC5F60">
        <w:rPr>
          <w:lang w:val="en-US"/>
        </w:rPr>
        <w:t>stion, but the starting point must be</w:t>
      </w:r>
      <w:r w:rsidR="00D160DF">
        <w:rPr>
          <w:lang w:val="en-US"/>
        </w:rPr>
        <w:t xml:space="preserve"> that vis-</w:t>
      </w:r>
      <w:r>
        <w:rPr>
          <w:lang w:val="en-US"/>
        </w:rPr>
        <w:t>a</w:t>
      </w:r>
      <w:r w:rsidR="00D160DF">
        <w:rPr>
          <w:lang w:val="en-US"/>
        </w:rPr>
        <w:t>-</w:t>
      </w:r>
      <w:r>
        <w:rPr>
          <w:lang w:val="en-US"/>
        </w:rPr>
        <w:t xml:space="preserve">vis </w:t>
      </w:r>
      <w:r w:rsidR="00171793">
        <w:rPr>
          <w:lang w:val="en-US"/>
        </w:rPr>
        <w:t>the claimant</w:t>
      </w:r>
      <w:r w:rsidR="00D160DF">
        <w:rPr>
          <w:lang w:val="en-US"/>
        </w:rPr>
        <w:t>,</w:t>
      </w:r>
      <w:r w:rsidR="00171793">
        <w:rPr>
          <w:lang w:val="en-US"/>
        </w:rPr>
        <w:t xml:space="preserve"> </w:t>
      </w:r>
      <w:r>
        <w:rPr>
          <w:lang w:val="en-US"/>
        </w:rPr>
        <w:t xml:space="preserve">the </w:t>
      </w:r>
      <w:r w:rsidR="00BC5F60">
        <w:rPr>
          <w:lang w:val="en-US"/>
        </w:rPr>
        <w:t xml:space="preserve">carrier </w:t>
      </w:r>
      <w:r>
        <w:rPr>
          <w:lang w:val="en-US"/>
        </w:rPr>
        <w:t xml:space="preserve">cannot invoke such a </w:t>
      </w:r>
      <w:proofErr w:type="spellStart"/>
      <w:r w:rsidR="00BC5F60">
        <w:rPr>
          <w:lang w:val="en-US"/>
        </w:rPr>
        <w:t>fio</w:t>
      </w:r>
      <w:proofErr w:type="spellEnd"/>
      <w:r w:rsidR="00BC5F60">
        <w:rPr>
          <w:lang w:val="en-US"/>
        </w:rPr>
        <w:t xml:space="preserve"> </w:t>
      </w:r>
      <w:r>
        <w:rPr>
          <w:lang w:val="en-US"/>
        </w:rPr>
        <w:t>defense</w:t>
      </w:r>
      <w:r w:rsidR="00BC5F60">
        <w:rPr>
          <w:lang w:val="en-US"/>
        </w:rPr>
        <w:t xml:space="preserve"> under a separate charter. However, if candidates were to discuss this in broader terms – that </w:t>
      </w:r>
      <w:proofErr w:type="spellStart"/>
      <w:r w:rsidR="00BC5F60">
        <w:rPr>
          <w:lang w:val="en-US"/>
        </w:rPr>
        <w:t>fio</w:t>
      </w:r>
      <w:proofErr w:type="spellEnd"/>
      <w:r w:rsidR="00BC5F60">
        <w:rPr>
          <w:lang w:val="en-US"/>
        </w:rPr>
        <w:t xml:space="preserve"> clauses is a “warning” pertaining to loading operations in general</w:t>
      </w:r>
      <w:r w:rsidR="00171793">
        <w:rPr>
          <w:lang w:val="en-US"/>
        </w:rPr>
        <w:t>, and that the present claimant</w:t>
      </w:r>
      <w:r w:rsidR="00BC5F60">
        <w:rPr>
          <w:lang w:val="en-US"/>
        </w:rPr>
        <w:t xml:space="preserve"> therefore must assume </w:t>
      </w:r>
      <w:r w:rsidR="00171793">
        <w:rPr>
          <w:lang w:val="en-US"/>
        </w:rPr>
        <w:t>some type of corresponding general risk – on</w:t>
      </w:r>
      <w:r w:rsidR="00BC5F60">
        <w:rPr>
          <w:lang w:val="en-US"/>
        </w:rPr>
        <w:t xml:space="preserve">e should probably </w:t>
      </w:r>
      <w:r w:rsidR="00D160DF">
        <w:rPr>
          <w:lang w:val="en-US"/>
        </w:rPr>
        <w:t>assess this type of argument</w:t>
      </w:r>
      <w:r w:rsidR="00171793">
        <w:rPr>
          <w:lang w:val="en-US"/>
        </w:rPr>
        <w:t xml:space="preserve"> generously. It may also be that some candidates take the view that the intermediate port call was some type of (unlawful) deviation, having an effect on the carrier’s invocation of </w:t>
      </w:r>
      <w:proofErr w:type="spellStart"/>
      <w:r w:rsidR="00171793">
        <w:rPr>
          <w:lang w:val="en-US"/>
        </w:rPr>
        <w:t>fio</w:t>
      </w:r>
      <w:proofErr w:type="spellEnd"/>
      <w:r w:rsidR="00171793">
        <w:rPr>
          <w:lang w:val="en-US"/>
        </w:rPr>
        <w:t xml:space="preserve">-type defenses. </w:t>
      </w:r>
      <w:proofErr w:type="gramStart"/>
      <w:r w:rsidR="00171793">
        <w:rPr>
          <w:lang w:val="en-US"/>
        </w:rPr>
        <w:t>Also</w:t>
      </w:r>
      <w:proofErr w:type="gramEnd"/>
      <w:r w:rsidR="00171793">
        <w:rPr>
          <w:lang w:val="en-US"/>
        </w:rPr>
        <w:t xml:space="preserve"> this should be assessed generously, although, strictly, there is no support for it in the facts, nor is it unu</w:t>
      </w:r>
      <w:r w:rsidR="00D160DF">
        <w:rPr>
          <w:lang w:val="en-US"/>
        </w:rPr>
        <w:t xml:space="preserve">sual under part chartering to have </w:t>
      </w:r>
      <w:r w:rsidR="00171793">
        <w:rPr>
          <w:lang w:val="en-US"/>
        </w:rPr>
        <w:t>such “rotation” of ports involving different part charterers.</w:t>
      </w:r>
    </w:p>
    <w:p w:rsidR="00AE203E" w:rsidRDefault="00AE203E">
      <w:pPr>
        <w:rPr>
          <w:lang w:val="en-US"/>
        </w:rPr>
      </w:pPr>
      <w:r>
        <w:rPr>
          <w:lang w:val="en-US"/>
        </w:rPr>
        <w:t xml:space="preserve">However, since </w:t>
      </w:r>
      <w:r w:rsidR="00FF05AF">
        <w:rPr>
          <w:lang w:val="en-US"/>
        </w:rPr>
        <w:t>also the master was at fault</w:t>
      </w:r>
      <w:r w:rsidR="00D160DF">
        <w:rPr>
          <w:lang w:val="en-US"/>
        </w:rPr>
        <w:t>,</w:t>
      </w:r>
      <w:r>
        <w:rPr>
          <w:lang w:val="en-US"/>
        </w:rPr>
        <w:t xml:space="preserve"> it will generally </w:t>
      </w:r>
      <w:r w:rsidR="00171793">
        <w:rPr>
          <w:lang w:val="en-US"/>
        </w:rPr>
        <w:t>suffice for a claimant (as a matter of causation</w:t>
      </w:r>
      <w:r>
        <w:rPr>
          <w:lang w:val="en-US"/>
        </w:rPr>
        <w:t xml:space="preserve"> in the law of damages) to point to such</w:t>
      </w:r>
      <w:r w:rsidR="00171793">
        <w:rPr>
          <w:lang w:val="en-US"/>
        </w:rPr>
        <w:t xml:space="preserve"> fault </w:t>
      </w:r>
      <w:r w:rsidR="00D160DF">
        <w:rPr>
          <w:lang w:val="en-US"/>
        </w:rPr>
        <w:t xml:space="preserve">by the master </w:t>
      </w:r>
      <w:r>
        <w:rPr>
          <w:lang w:val="en-US"/>
        </w:rPr>
        <w:t xml:space="preserve">as a sufficient basis of liability. Hence, by  most candidates this will probably be seen as the primary </w:t>
      </w:r>
      <w:r w:rsidR="00FF05AF">
        <w:rPr>
          <w:lang w:val="en-US"/>
        </w:rPr>
        <w:t>question</w:t>
      </w:r>
      <w:r>
        <w:rPr>
          <w:lang w:val="en-US"/>
        </w:rPr>
        <w:t xml:space="preserve"> – with the above </w:t>
      </w:r>
      <w:proofErr w:type="spellStart"/>
      <w:r>
        <w:rPr>
          <w:lang w:val="en-US"/>
        </w:rPr>
        <w:t>fio</w:t>
      </w:r>
      <w:proofErr w:type="spellEnd"/>
      <w:r>
        <w:rPr>
          <w:lang w:val="en-US"/>
        </w:rPr>
        <w:t xml:space="preserve"> discussion becoming relevant only if the master’s fault for some reason should be considered exempted from the carrier’s liability.</w:t>
      </w:r>
    </w:p>
    <w:p w:rsidR="00597DB2" w:rsidRDefault="00D160DF">
      <w:pPr>
        <w:rPr>
          <w:lang w:val="en-US"/>
        </w:rPr>
      </w:pPr>
      <w:r>
        <w:rPr>
          <w:lang w:val="en-US"/>
        </w:rPr>
        <w:t xml:space="preserve">This, in turn, concerns: </w:t>
      </w:r>
      <w:r w:rsidR="00FF05AF">
        <w:rPr>
          <w:lang w:val="en-US"/>
        </w:rPr>
        <w:t xml:space="preserve">How shall this event </w:t>
      </w:r>
      <w:r w:rsidR="00597DB2">
        <w:rPr>
          <w:lang w:val="en-US"/>
        </w:rPr>
        <w:t xml:space="preserve">involving the master’s fault </w:t>
      </w:r>
      <w:r w:rsidR="00FF05AF">
        <w:rPr>
          <w:lang w:val="en-US"/>
        </w:rPr>
        <w:t xml:space="preserve">be </w:t>
      </w:r>
      <w:r w:rsidR="00597DB2">
        <w:rPr>
          <w:lang w:val="en-US"/>
        </w:rPr>
        <w:t xml:space="preserve">legally </w:t>
      </w:r>
      <w:proofErr w:type="gramStart"/>
      <w:r w:rsidR="00FF05AF">
        <w:rPr>
          <w:lang w:val="en-US"/>
        </w:rPr>
        <w:t>considered?</w:t>
      </w:r>
      <w:proofErr w:type="gramEnd"/>
      <w:r w:rsidR="00FF05AF">
        <w:rPr>
          <w:lang w:val="en-US"/>
        </w:rPr>
        <w:t xml:space="preserve"> Since it happened during the course of the voyage</w:t>
      </w:r>
      <w:r>
        <w:rPr>
          <w:lang w:val="en-US"/>
        </w:rPr>
        <w:t>,</w:t>
      </w:r>
      <w:r w:rsidR="00597DB2">
        <w:rPr>
          <w:lang w:val="en-US"/>
        </w:rPr>
        <w:t xml:space="preserve"> one is prima facie within the scope of s. 276 (ref 347) and with the further question whether the fault primarily had to do with </w:t>
      </w:r>
      <w:r w:rsidR="00FF05AF">
        <w:rPr>
          <w:lang w:val="en-US"/>
        </w:rPr>
        <w:t xml:space="preserve">caring for the cargo or </w:t>
      </w:r>
      <w:r w:rsidR="00597DB2">
        <w:rPr>
          <w:lang w:val="en-US"/>
        </w:rPr>
        <w:t xml:space="preserve">primarily with </w:t>
      </w:r>
      <w:r w:rsidR="00FF05AF">
        <w:rPr>
          <w:lang w:val="en-US"/>
        </w:rPr>
        <w:t>the safety of the ship</w:t>
      </w:r>
      <w:r w:rsidR="00CA467A">
        <w:rPr>
          <w:lang w:val="en-US"/>
        </w:rPr>
        <w:t xml:space="preserve"> (ballasting relating to stability)</w:t>
      </w:r>
      <w:r w:rsidR="00597DB2">
        <w:rPr>
          <w:lang w:val="en-US"/>
        </w:rPr>
        <w:t xml:space="preserve">. </w:t>
      </w:r>
      <w:proofErr w:type="gramStart"/>
      <w:r w:rsidR="00597DB2">
        <w:rPr>
          <w:lang w:val="en-US"/>
        </w:rPr>
        <w:t>Also</w:t>
      </w:r>
      <w:proofErr w:type="gramEnd"/>
      <w:r w:rsidR="00597DB2">
        <w:rPr>
          <w:lang w:val="en-US"/>
        </w:rPr>
        <w:t xml:space="preserve"> here one should take a generous approach </w:t>
      </w:r>
      <w:r w:rsidR="00CA467A">
        <w:rPr>
          <w:lang w:val="en-US"/>
        </w:rPr>
        <w:t xml:space="preserve">as </w:t>
      </w:r>
      <w:r w:rsidR="00597DB2">
        <w:rPr>
          <w:lang w:val="en-US"/>
        </w:rPr>
        <w:t xml:space="preserve">to the candidates’ </w:t>
      </w:r>
      <w:r w:rsidR="00CA467A">
        <w:rPr>
          <w:lang w:val="en-US"/>
        </w:rPr>
        <w:t xml:space="preserve">way </w:t>
      </w:r>
      <w:r w:rsidR="00597DB2">
        <w:rPr>
          <w:lang w:val="en-US"/>
        </w:rPr>
        <w:t>reasoning</w:t>
      </w:r>
      <w:r w:rsidR="00CA467A">
        <w:rPr>
          <w:lang w:val="en-US"/>
        </w:rPr>
        <w:t>,</w:t>
      </w:r>
      <w:r w:rsidR="00597DB2">
        <w:rPr>
          <w:lang w:val="en-US"/>
        </w:rPr>
        <w:t xml:space="preserve"> since the constellation</w:t>
      </w:r>
      <w:r w:rsidR="00CA467A">
        <w:rPr>
          <w:lang w:val="en-US"/>
        </w:rPr>
        <w:t xml:space="preserve"> given</w:t>
      </w:r>
      <w:r w:rsidR="00597DB2">
        <w:rPr>
          <w:lang w:val="en-US"/>
        </w:rPr>
        <w:t xml:space="preserve"> is unusual (not directly covered in the syllabus book), hence the answering of it tricky. </w:t>
      </w:r>
    </w:p>
    <w:p w:rsidR="00CA467A" w:rsidRDefault="00D64640" w:rsidP="00597DB2">
      <w:pPr>
        <w:rPr>
          <w:lang w:val="en-US"/>
        </w:rPr>
      </w:pPr>
      <w:proofErr w:type="gramStart"/>
      <w:r>
        <w:rPr>
          <w:lang w:val="en-US"/>
        </w:rPr>
        <w:t xml:space="preserve">Probably the better approach </w:t>
      </w:r>
      <w:r w:rsidR="00CA467A">
        <w:rPr>
          <w:lang w:val="en-US"/>
        </w:rPr>
        <w:t xml:space="preserve">is to view the fault as relating to caring for the cargo and thus not exempted from liability, e.g. by stating that the master has a general duty to supervise cargo operation for ship safety purposes (with support taken e.g. from the </w:t>
      </w:r>
      <w:proofErr w:type="spellStart"/>
      <w:r w:rsidR="00CA467A">
        <w:rPr>
          <w:lang w:val="en-US"/>
        </w:rPr>
        <w:t>Linvik</w:t>
      </w:r>
      <w:proofErr w:type="spellEnd"/>
      <w:r w:rsidR="00CA467A">
        <w:rPr>
          <w:lang w:val="en-US"/>
        </w:rPr>
        <w:t>-case) and that, had such supervision taken place, the cargo damage would have been avoided.</w:t>
      </w:r>
      <w:proofErr w:type="gramEnd"/>
      <w:r w:rsidR="00CA467A">
        <w:rPr>
          <w:lang w:val="en-US"/>
        </w:rPr>
        <w:t xml:space="preserve"> This</w:t>
      </w:r>
      <w:r w:rsidR="00D160DF">
        <w:rPr>
          <w:lang w:val="en-US"/>
        </w:rPr>
        <w:t>,</w:t>
      </w:r>
      <w:r w:rsidR="00CA467A">
        <w:rPr>
          <w:lang w:val="en-US"/>
        </w:rPr>
        <w:t xml:space="preserve"> again</w:t>
      </w:r>
      <w:r w:rsidR="00D160DF">
        <w:rPr>
          <w:lang w:val="en-US"/>
        </w:rPr>
        <w:t>,</w:t>
      </w:r>
      <w:r w:rsidR="00CA467A">
        <w:rPr>
          <w:lang w:val="en-US"/>
        </w:rPr>
        <w:t xml:space="preserve"> pertains to the above discussion concerning the effect of</w:t>
      </w:r>
      <w:r w:rsidR="00D160DF">
        <w:rPr>
          <w:lang w:val="en-US"/>
        </w:rPr>
        <w:t xml:space="preserve"> </w:t>
      </w:r>
      <w:proofErr w:type="spellStart"/>
      <w:r w:rsidR="00D160DF">
        <w:rPr>
          <w:lang w:val="en-US"/>
        </w:rPr>
        <w:t>fio</w:t>
      </w:r>
      <w:proofErr w:type="spellEnd"/>
      <w:r w:rsidR="00D160DF">
        <w:rPr>
          <w:lang w:val="en-US"/>
        </w:rPr>
        <w:t xml:space="preserve"> under a different charter</w:t>
      </w:r>
      <w:r w:rsidR="00CA467A">
        <w:rPr>
          <w:lang w:val="en-US"/>
        </w:rPr>
        <w:t xml:space="preserve">: the present claimant </w:t>
      </w:r>
      <w:proofErr w:type="gramStart"/>
      <w:r w:rsidR="00CA467A">
        <w:rPr>
          <w:lang w:val="en-US"/>
        </w:rPr>
        <w:t>should not be placed</w:t>
      </w:r>
      <w:proofErr w:type="gramEnd"/>
      <w:r w:rsidR="00CA467A">
        <w:rPr>
          <w:lang w:val="en-US"/>
        </w:rPr>
        <w:t xml:space="preserve"> at a </w:t>
      </w:r>
      <w:r w:rsidR="00E63094">
        <w:rPr>
          <w:lang w:val="en-US"/>
        </w:rPr>
        <w:t>peril</w:t>
      </w:r>
      <w:r w:rsidR="00CA467A">
        <w:rPr>
          <w:lang w:val="en-US"/>
        </w:rPr>
        <w:t xml:space="preserve"> (liability wise) by there being </w:t>
      </w:r>
      <w:r w:rsidR="00E63094">
        <w:rPr>
          <w:lang w:val="en-US"/>
        </w:rPr>
        <w:t xml:space="preserve">such a “third party” </w:t>
      </w:r>
      <w:proofErr w:type="spellStart"/>
      <w:r w:rsidR="00E63094">
        <w:rPr>
          <w:lang w:val="en-US"/>
        </w:rPr>
        <w:t>fio</w:t>
      </w:r>
      <w:proofErr w:type="spellEnd"/>
      <w:r w:rsidR="00E63094">
        <w:rPr>
          <w:lang w:val="en-US"/>
        </w:rPr>
        <w:t xml:space="preserve"> provision.</w:t>
      </w:r>
    </w:p>
    <w:p w:rsidR="00E63094" w:rsidRDefault="00D64640">
      <w:pPr>
        <w:rPr>
          <w:lang w:val="en-US"/>
        </w:rPr>
      </w:pPr>
      <w:r>
        <w:rPr>
          <w:lang w:val="en-US"/>
        </w:rPr>
        <w:t xml:space="preserve">Some candidates may </w:t>
      </w:r>
      <w:r w:rsidR="00E63094">
        <w:rPr>
          <w:lang w:val="en-US"/>
        </w:rPr>
        <w:t xml:space="preserve">perhaps </w:t>
      </w:r>
      <w:r>
        <w:rPr>
          <w:lang w:val="en-US"/>
        </w:rPr>
        <w:t xml:space="preserve">go into questions of initial unseaworthiness relating to this intermediate port stay. </w:t>
      </w:r>
      <w:proofErr w:type="gramStart"/>
      <w:r>
        <w:rPr>
          <w:lang w:val="en-US"/>
        </w:rPr>
        <w:t xml:space="preserve">That would be a misunderstanding </w:t>
      </w:r>
      <w:r w:rsidR="00E63094">
        <w:rPr>
          <w:lang w:val="en-US"/>
        </w:rPr>
        <w:t xml:space="preserve">in the sense that </w:t>
      </w:r>
      <w:r>
        <w:rPr>
          <w:lang w:val="en-US"/>
        </w:rPr>
        <w:t xml:space="preserve">this is not the commencement of the cargo voyage for </w:t>
      </w:r>
      <w:r w:rsidR="00E63094">
        <w:rPr>
          <w:lang w:val="en-US"/>
        </w:rPr>
        <w:t>the present charterer/claimant – but still the rationale of such an approach should not be entirely dismissed, due to the openness of the topic; preparation of the ship for its sea voyage is parallel to a “classic” question of the relationship between initial seaworthiness and nautical faults, as discussed e.g. in the Sunna-case.</w:t>
      </w:r>
      <w:proofErr w:type="gramEnd"/>
    </w:p>
    <w:p w:rsidR="00D64640" w:rsidRDefault="00D64640">
      <w:pPr>
        <w:rPr>
          <w:lang w:val="en-US"/>
        </w:rPr>
      </w:pPr>
      <w:r>
        <w:rPr>
          <w:lang w:val="en-US"/>
        </w:rPr>
        <w:t>Wh</w:t>
      </w:r>
      <w:r w:rsidR="00E63094">
        <w:rPr>
          <w:lang w:val="en-US"/>
        </w:rPr>
        <w:t>ether the carrier is liable or not may therefore be up fo</w:t>
      </w:r>
      <w:r>
        <w:rPr>
          <w:lang w:val="en-US"/>
        </w:rPr>
        <w:t>r discussion</w:t>
      </w:r>
      <w:r w:rsidR="00E63094">
        <w:rPr>
          <w:lang w:val="en-US"/>
        </w:rPr>
        <w:t>,</w:t>
      </w:r>
      <w:r>
        <w:rPr>
          <w:lang w:val="en-US"/>
        </w:rPr>
        <w:t xml:space="preserve"> but if one should end up with no liability, one should </w:t>
      </w:r>
      <w:r w:rsidR="00E63094">
        <w:rPr>
          <w:lang w:val="en-US"/>
        </w:rPr>
        <w:t xml:space="preserve">clearly </w:t>
      </w:r>
      <w:r>
        <w:rPr>
          <w:lang w:val="en-US"/>
        </w:rPr>
        <w:t>address the next q</w:t>
      </w:r>
      <w:r w:rsidR="00E63094">
        <w:rPr>
          <w:lang w:val="en-US"/>
        </w:rPr>
        <w:t>uestion concerning measure of damages on an alternative basis</w:t>
      </w:r>
      <w:r>
        <w:rPr>
          <w:lang w:val="en-US"/>
        </w:rPr>
        <w:t xml:space="preserve"> </w:t>
      </w:r>
      <w:r w:rsidR="00E63094">
        <w:rPr>
          <w:lang w:val="en-US"/>
        </w:rPr>
        <w:t xml:space="preserve">of </w:t>
      </w:r>
      <w:r>
        <w:rPr>
          <w:lang w:val="en-US"/>
        </w:rPr>
        <w:t>assuming liability.</w:t>
      </w:r>
    </w:p>
    <w:p w:rsidR="003D38E6" w:rsidRDefault="003D38E6">
      <w:pPr>
        <w:rPr>
          <w:lang w:val="en-US"/>
        </w:rPr>
      </w:pPr>
    </w:p>
    <w:p w:rsidR="003D38E6" w:rsidRDefault="003D38E6">
      <w:pPr>
        <w:rPr>
          <w:lang w:val="en-US"/>
        </w:rPr>
      </w:pPr>
      <w:r>
        <w:rPr>
          <w:lang w:val="en-US"/>
        </w:rPr>
        <w:lastRenderedPageBreak/>
        <w:t>Q 2:</w:t>
      </w:r>
    </w:p>
    <w:p w:rsidR="00476010" w:rsidRDefault="003D38E6">
      <w:pPr>
        <w:rPr>
          <w:lang w:val="en-US"/>
        </w:rPr>
      </w:pPr>
      <w:r>
        <w:rPr>
          <w:lang w:val="en-US"/>
        </w:rPr>
        <w:t>As to the measure of damages</w:t>
      </w:r>
      <w:r w:rsidR="00D64640">
        <w:rPr>
          <w:lang w:val="en-US"/>
        </w:rPr>
        <w:t xml:space="preserve"> it is </w:t>
      </w:r>
      <w:r w:rsidR="00476010">
        <w:rPr>
          <w:lang w:val="en-US"/>
        </w:rPr>
        <w:t xml:space="preserve">clear that </w:t>
      </w:r>
      <w:r w:rsidR="00D0791C">
        <w:rPr>
          <w:lang w:val="en-US"/>
        </w:rPr>
        <w:t xml:space="preserve">s. </w:t>
      </w:r>
      <w:r w:rsidR="00476010">
        <w:rPr>
          <w:lang w:val="en-US"/>
        </w:rPr>
        <w:t>279 applies</w:t>
      </w:r>
      <w:r w:rsidR="00D474CA">
        <w:rPr>
          <w:lang w:val="en-US"/>
        </w:rPr>
        <w:t>, ref s. 3</w:t>
      </w:r>
      <w:r w:rsidR="00D0791C">
        <w:rPr>
          <w:lang w:val="en-US"/>
        </w:rPr>
        <w:t xml:space="preserve">47, hence </w:t>
      </w:r>
      <w:r w:rsidR="00476010">
        <w:rPr>
          <w:lang w:val="en-US"/>
        </w:rPr>
        <w:t xml:space="preserve">standardized measure </w:t>
      </w:r>
      <w:r w:rsidR="00D0791C">
        <w:rPr>
          <w:lang w:val="en-US"/>
        </w:rPr>
        <w:t xml:space="preserve">(market value at discharge port) does prima facie apply and with indirect losses (mere financial losses) being excluded. This is however not entirely black and white, see the syllabus book (p </w:t>
      </w:r>
      <w:r>
        <w:rPr>
          <w:lang w:val="en-US"/>
        </w:rPr>
        <w:t>273-74</w:t>
      </w:r>
      <w:r w:rsidR="00D0791C">
        <w:rPr>
          <w:lang w:val="en-US"/>
        </w:rPr>
        <w:t xml:space="preserve">). </w:t>
      </w:r>
      <w:r w:rsidR="00476010">
        <w:rPr>
          <w:lang w:val="en-US"/>
        </w:rPr>
        <w:t xml:space="preserve">Whether costs in destruction of damaged goods are recoverable </w:t>
      </w:r>
      <w:proofErr w:type="gramStart"/>
      <w:r w:rsidR="00D0791C">
        <w:rPr>
          <w:lang w:val="en-US"/>
        </w:rPr>
        <w:t>is</w:t>
      </w:r>
      <w:r>
        <w:rPr>
          <w:lang w:val="en-US"/>
        </w:rPr>
        <w:t xml:space="preserve"> </w:t>
      </w:r>
      <w:r w:rsidR="00D0791C">
        <w:rPr>
          <w:lang w:val="en-US"/>
        </w:rPr>
        <w:t>discussed</w:t>
      </w:r>
      <w:proofErr w:type="gramEnd"/>
      <w:r w:rsidR="00D0791C">
        <w:rPr>
          <w:lang w:val="en-US"/>
        </w:rPr>
        <w:t xml:space="preserve"> in the </w:t>
      </w:r>
      <w:r w:rsidR="00476010">
        <w:rPr>
          <w:lang w:val="en-US"/>
        </w:rPr>
        <w:t xml:space="preserve">syllabus book </w:t>
      </w:r>
      <w:r w:rsidR="00D0791C">
        <w:rPr>
          <w:lang w:val="en-US"/>
        </w:rPr>
        <w:t>(</w:t>
      </w:r>
      <w:r w:rsidR="00476010">
        <w:rPr>
          <w:lang w:val="en-US"/>
        </w:rPr>
        <w:t xml:space="preserve">p </w:t>
      </w:r>
      <w:r>
        <w:rPr>
          <w:lang w:val="en-US"/>
        </w:rPr>
        <w:t>374)</w:t>
      </w:r>
      <w:r w:rsidR="00D0791C">
        <w:rPr>
          <w:lang w:val="en-US"/>
        </w:rPr>
        <w:t>.</w:t>
      </w:r>
    </w:p>
    <w:p w:rsidR="00D20262" w:rsidRDefault="00476010">
      <w:pPr>
        <w:rPr>
          <w:lang w:val="en-US"/>
        </w:rPr>
      </w:pPr>
      <w:r>
        <w:rPr>
          <w:lang w:val="en-US"/>
        </w:rPr>
        <w:t>Moreover, the unity is cartons</w:t>
      </w:r>
      <w:r w:rsidR="003D38E6">
        <w:rPr>
          <w:lang w:val="en-US"/>
        </w:rPr>
        <w:t xml:space="preserve"> (p 375), thus the unit limitation is NOK </w:t>
      </w:r>
      <w:r w:rsidR="00937B4B">
        <w:rPr>
          <w:lang w:val="en-US"/>
        </w:rPr>
        <w:t xml:space="preserve">40.020.000 </w:t>
      </w:r>
      <w:r w:rsidR="003D38E6">
        <w:rPr>
          <w:lang w:val="en-US"/>
        </w:rPr>
        <w:t>(100x</w:t>
      </w:r>
      <w:r w:rsidR="00937B4B">
        <w:rPr>
          <w:lang w:val="en-US"/>
        </w:rPr>
        <w:t>60x</w:t>
      </w:r>
      <w:r w:rsidR="003D38E6">
        <w:rPr>
          <w:lang w:val="en-US"/>
        </w:rPr>
        <w:t>667x10). The weight limitation is NOK 1</w:t>
      </w:r>
      <w:proofErr w:type="gramStart"/>
      <w:r w:rsidR="003D38E6">
        <w:rPr>
          <w:lang w:val="en-US"/>
        </w:rPr>
        <w:t>,2</w:t>
      </w:r>
      <w:proofErr w:type="gramEnd"/>
      <w:r w:rsidR="003D38E6">
        <w:rPr>
          <w:lang w:val="en-US"/>
        </w:rPr>
        <w:t xml:space="preserve"> mill (60.000x2x10). </w:t>
      </w:r>
      <w:r w:rsidR="0090148C">
        <w:rPr>
          <w:lang w:val="en-US"/>
        </w:rPr>
        <w:t>Nothing is said as to whether also the units (cartons) are damaged but if candidates also include these, that must be deemed acceptable</w:t>
      </w:r>
      <w:bookmarkStart w:id="0" w:name="_GoBack"/>
      <w:bookmarkEnd w:id="0"/>
      <w:r w:rsidR="0090148C">
        <w:rPr>
          <w:lang w:val="en-US"/>
        </w:rPr>
        <w:t xml:space="preserve">, MC s 281 </w:t>
      </w:r>
      <w:proofErr w:type="spellStart"/>
      <w:r w:rsidR="0090148C">
        <w:rPr>
          <w:lang w:val="en-US"/>
        </w:rPr>
        <w:t>i.f</w:t>
      </w:r>
      <w:proofErr w:type="spellEnd"/>
      <w:r w:rsidR="0090148C">
        <w:rPr>
          <w:lang w:val="en-US"/>
        </w:rPr>
        <w:t>.</w:t>
      </w:r>
    </w:p>
    <w:p w:rsidR="00C86A1B" w:rsidRDefault="003D38E6">
      <w:pPr>
        <w:rPr>
          <w:lang w:val="en-US"/>
        </w:rPr>
      </w:pPr>
      <w:r>
        <w:rPr>
          <w:lang w:val="en-US"/>
        </w:rPr>
        <w:t>The</w:t>
      </w:r>
      <w:r w:rsidR="00D20262">
        <w:rPr>
          <w:lang w:val="en-US"/>
        </w:rPr>
        <w:t xml:space="preserve"> direct </w:t>
      </w:r>
      <w:r>
        <w:rPr>
          <w:lang w:val="en-US"/>
        </w:rPr>
        <w:t>losses claimed was</w:t>
      </w:r>
      <w:r w:rsidR="00D20262">
        <w:rPr>
          <w:lang w:val="en-US"/>
        </w:rPr>
        <w:t>: 50% of the cargo destructed</w:t>
      </w:r>
      <w:r w:rsidR="00C86A1B">
        <w:rPr>
          <w:lang w:val="en-US"/>
        </w:rPr>
        <w:t>, based on a market price of NOK 10 per kg</w:t>
      </w:r>
      <w:r w:rsidR="00D20262">
        <w:rPr>
          <w:lang w:val="en-US"/>
        </w:rPr>
        <w:t>=NOK 300.000 (</w:t>
      </w:r>
      <w:proofErr w:type="gramStart"/>
      <w:r w:rsidR="00D20262">
        <w:rPr>
          <w:lang w:val="en-US"/>
        </w:rPr>
        <w:t>60.000x10x50%</w:t>
      </w:r>
      <w:proofErr w:type="gramEnd"/>
      <w:r w:rsidR="00D20262">
        <w:rPr>
          <w:lang w:val="en-US"/>
        </w:rPr>
        <w:t>) – plus losses through rebate sale=NOK 150.000 (30.000x10x50%) – in total NOK 450.000. T</w:t>
      </w:r>
      <w:r w:rsidR="00C86A1B">
        <w:rPr>
          <w:lang w:val="en-US"/>
        </w:rPr>
        <w:t xml:space="preserve">his is </w:t>
      </w:r>
      <w:r w:rsidR="00D20262">
        <w:rPr>
          <w:lang w:val="en-US"/>
        </w:rPr>
        <w:t xml:space="preserve">below the limitation right and recoverable in full. </w:t>
      </w:r>
    </w:p>
    <w:p w:rsidR="00476010" w:rsidRDefault="00D20262">
      <w:pPr>
        <w:rPr>
          <w:lang w:val="en-US"/>
        </w:rPr>
      </w:pPr>
      <w:r>
        <w:rPr>
          <w:lang w:val="en-US"/>
        </w:rPr>
        <w:t xml:space="preserve">If candidates were to conclude that destruction </w:t>
      </w:r>
      <w:r w:rsidR="00C86A1B">
        <w:rPr>
          <w:lang w:val="en-US"/>
        </w:rPr>
        <w:t xml:space="preserve">costs of NOK 100.000 </w:t>
      </w:r>
      <w:r>
        <w:rPr>
          <w:lang w:val="en-US"/>
        </w:rPr>
        <w:t xml:space="preserve">were recoverable, then still the limitation </w:t>
      </w:r>
      <w:r w:rsidR="00C86A1B">
        <w:rPr>
          <w:lang w:val="en-US"/>
        </w:rPr>
        <w:t xml:space="preserve">amount </w:t>
      </w:r>
      <w:proofErr w:type="gramStart"/>
      <w:r w:rsidR="00C86A1B">
        <w:rPr>
          <w:lang w:val="en-US"/>
        </w:rPr>
        <w:t xml:space="preserve">would not be </w:t>
      </w:r>
      <w:r>
        <w:rPr>
          <w:lang w:val="en-US"/>
        </w:rPr>
        <w:t>reached</w:t>
      </w:r>
      <w:proofErr w:type="gramEnd"/>
      <w:r>
        <w:rPr>
          <w:lang w:val="en-US"/>
        </w:rPr>
        <w:t xml:space="preserve">. </w:t>
      </w:r>
      <w:r w:rsidR="00C86A1B">
        <w:rPr>
          <w:lang w:val="en-US"/>
        </w:rPr>
        <w:t xml:space="preserve">It </w:t>
      </w:r>
      <w:r>
        <w:rPr>
          <w:lang w:val="en-US"/>
        </w:rPr>
        <w:t>seem</w:t>
      </w:r>
      <w:r w:rsidR="00C86A1B">
        <w:rPr>
          <w:lang w:val="en-US"/>
        </w:rPr>
        <w:t>s</w:t>
      </w:r>
      <w:r>
        <w:rPr>
          <w:lang w:val="en-US"/>
        </w:rPr>
        <w:t xml:space="preserve"> </w:t>
      </w:r>
      <w:proofErr w:type="gramStart"/>
      <w:r w:rsidR="00C86A1B">
        <w:rPr>
          <w:lang w:val="en-US"/>
        </w:rPr>
        <w:t>fairly clear</w:t>
      </w:r>
      <w:proofErr w:type="gramEnd"/>
      <w:r w:rsidR="00C86A1B">
        <w:rPr>
          <w:lang w:val="en-US"/>
        </w:rPr>
        <w:t xml:space="preserve"> </w:t>
      </w:r>
      <w:r>
        <w:rPr>
          <w:lang w:val="en-US"/>
        </w:rPr>
        <w:t>that loss of good</w:t>
      </w:r>
      <w:r w:rsidR="00C86A1B">
        <w:rPr>
          <w:lang w:val="en-US"/>
        </w:rPr>
        <w:t xml:space="preserve">will (NOK 500.000) is not recoverable under s. 279. </w:t>
      </w:r>
    </w:p>
    <w:p w:rsidR="00C86A1B" w:rsidRDefault="00C86A1B">
      <w:pPr>
        <w:rPr>
          <w:lang w:val="en-US"/>
        </w:rPr>
      </w:pPr>
    </w:p>
    <w:p w:rsidR="00C86A1B" w:rsidRDefault="00C86A1B">
      <w:pPr>
        <w:rPr>
          <w:lang w:val="en-US"/>
        </w:rPr>
      </w:pPr>
      <w:r>
        <w:rPr>
          <w:lang w:val="en-US"/>
        </w:rPr>
        <w:t>Part II</w:t>
      </w:r>
    </w:p>
    <w:p w:rsidR="00476010" w:rsidRDefault="00476010">
      <w:pPr>
        <w:rPr>
          <w:lang w:val="en-US"/>
        </w:rPr>
      </w:pPr>
      <w:r>
        <w:rPr>
          <w:lang w:val="en-US"/>
        </w:rPr>
        <w:t>Q</w:t>
      </w:r>
      <w:r w:rsidR="003D38E6">
        <w:rPr>
          <w:lang w:val="en-US"/>
        </w:rPr>
        <w:t xml:space="preserve"> 3</w:t>
      </w:r>
      <w:r>
        <w:rPr>
          <w:lang w:val="en-US"/>
        </w:rPr>
        <w:t>:</w:t>
      </w:r>
    </w:p>
    <w:p w:rsidR="0059787E" w:rsidRDefault="00476010">
      <w:pPr>
        <w:rPr>
          <w:lang w:val="en-US"/>
        </w:rPr>
      </w:pPr>
      <w:r>
        <w:rPr>
          <w:lang w:val="en-US"/>
        </w:rPr>
        <w:t xml:space="preserve">The point here is to test out identity of carrier questions where </w:t>
      </w:r>
      <w:proofErr w:type="spellStart"/>
      <w:r w:rsidR="00C86A1B">
        <w:rPr>
          <w:lang w:val="en-US"/>
        </w:rPr>
        <w:t>i.a</w:t>
      </w:r>
      <w:proofErr w:type="spellEnd"/>
      <w:r w:rsidR="00C86A1B">
        <w:rPr>
          <w:lang w:val="en-US"/>
        </w:rPr>
        <w:t xml:space="preserve">. MC </w:t>
      </w:r>
      <w:r>
        <w:rPr>
          <w:lang w:val="en-US"/>
        </w:rPr>
        <w:t xml:space="preserve">s. 295 comes into play. </w:t>
      </w:r>
    </w:p>
    <w:p w:rsidR="009B0895" w:rsidRDefault="00476010">
      <w:pPr>
        <w:rPr>
          <w:lang w:val="en-US"/>
        </w:rPr>
      </w:pPr>
      <w:r>
        <w:rPr>
          <w:lang w:val="en-US"/>
        </w:rPr>
        <w:t xml:space="preserve">How this is to </w:t>
      </w:r>
      <w:proofErr w:type="gramStart"/>
      <w:r>
        <w:rPr>
          <w:lang w:val="en-US"/>
        </w:rPr>
        <w:t>be understood</w:t>
      </w:r>
      <w:proofErr w:type="gramEnd"/>
      <w:r>
        <w:rPr>
          <w:lang w:val="en-US"/>
        </w:rPr>
        <w:t xml:space="preserve"> in a tramp bill of lading situation is not entirely clear. The provision</w:t>
      </w:r>
      <w:r w:rsidR="0059787E">
        <w:rPr>
          <w:lang w:val="en-US"/>
        </w:rPr>
        <w:t xml:space="preserve"> (s. 295)</w:t>
      </w:r>
      <w:r>
        <w:rPr>
          <w:lang w:val="en-US"/>
        </w:rPr>
        <w:t xml:space="preserve"> stems from liner trade situations, as a type of “anti-</w:t>
      </w:r>
      <w:proofErr w:type="spellStart"/>
      <w:r>
        <w:rPr>
          <w:lang w:val="en-US"/>
        </w:rPr>
        <w:t>Lysaker</w:t>
      </w:r>
      <w:proofErr w:type="spellEnd"/>
      <w:r>
        <w:rPr>
          <w:lang w:val="en-US"/>
        </w:rPr>
        <w:t xml:space="preserve">/Lulu” provision, </w:t>
      </w:r>
      <w:r w:rsidR="001174D1">
        <w:rPr>
          <w:lang w:val="en-US"/>
        </w:rPr>
        <w:t xml:space="preserve">disallowing identity of carrier </w:t>
      </w:r>
      <w:proofErr w:type="gramStart"/>
      <w:r w:rsidR="001174D1">
        <w:rPr>
          <w:lang w:val="en-US"/>
        </w:rPr>
        <w:t>clauses</w:t>
      </w:r>
      <w:r w:rsidR="0059787E">
        <w:rPr>
          <w:lang w:val="en-US"/>
        </w:rPr>
        <w:t xml:space="preserve"> which</w:t>
      </w:r>
      <w:proofErr w:type="gramEnd"/>
      <w:r w:rsidR="0059787E">
        <w:rPr>
          <w:lang w:val="en-US"/>
        </w:rPr>
        <w:t xml:space="preserve"> typically aim at cha</w:t>
      </w:r>
      <w:r w:rsidR="00D160DF">
        <w:rPr>
          <w:lang w:val="en-US"/>
        </w:rPr>
        <w:t>nneling all cargo claims to</w:t>
      </w:r>
      <w:r w:rsidR="0059787E">
        <w:rPr>
          <w:lang w:val="en-US"/>
        </w:rPr>
        <w:t xml:space="preserve"> </w:t>
      </w:r>
      <w:r w:rsidR="001174D1">
        <w:rPr>
          <w:lang w:val="en-US"/>
        </w:rPr>
        <w:t xml:space="preserve">the head owner – </w:t>
      </w:r>
      <w:r w:rsidR="0059787E">
        <w:rPr>
          <w:lang w:val="en-US"/>
        </w:rPr>
        <w:t xml:space="preserve">thus protecting </w:t>
      </w:r>
      <w:r w:rsidR="001174D1">
        <w:rPr>
          <w:lang w:val="en-US"/>
        </w:rPr>
        <w:t>the liner company</w:t>
      </w:r>
      <w:r w:rsidR="0059787E">
        <w:rPr>
          <w:lang w:val="en-US"/>
        </w:rPr>
        <w:t>,</w:t>
      </w:r>
      <w:r w:rsidR="001174D1">
        <w:rPr>
          <w:lang w:val="en-US"/>
        </w:rPr>
        <w:t xml:space="preserve"> as contracting carrier</w:t>
      </w:r>
      <w:r w:rsidR="0059787E">
        <w:rPr>
          <w:lang w:val="en-US"/>
        </w:rPr>
        <w:t>,</w:t>
      </w:r>
      <w:r w:rsidR="001174D1">
        <w:rPr>
          <w:lang w:val="en-US"/>
        </w:rPr>
        <w:t xml:space="preserve"> </w:t>
      </w:r>
      <w:r w:rsidR="00D160DF">
        <w:rPr>
          <w:lang w:val="en-US"/>
        </w:rPr>
        <w:t>from being sued.</w:t>
      </w:r>
      <w:r w:rsidR="0059787E">
        <w:rPr>
          <w:lang w:val="en-US"/>
        </w:rPr>
        <w:t xml:space="preserve"> This type of constellation </w:t>
      </w:r>
      <w:r w:rsidR="00A17912">
        <w:rPr>
          <w:lang w:val="en-US"/>
        </w:rPr>
        <w:t xml:space="preserve">pre </w:t>
      </w:r>
      <w:proofErr w:type="spellStart"/>
      <w:r w:rsidR="00A17912">
        <w:rPr>
          <w:lang w:val="en-US"/>
        </w:rPr>
        <w:t>Lysaker</w:t>
      </w:r>
      <w:proofErr w:type="spellEnd"/>
      <w:r w:rsidR="00A17912">
        <w:rPr>
          <w:lang w:val="en-US"/>
        </w:rPr>
        <w:t xml:space="preserve">/Lulu was intended </w:t>
      </w:r>
      <w:r w:rsidR="00D160DF">
        <w:rPr>
          <w:lang w:val="en-US"/>
        </w:rPr>
        <w:t xml:space="preserve">to be </w:t>
      </w:r>
      <w:r w:rsidR="00A17912">
        <w:rPr>
          <w:lang w:val="en-US"/>
        </w:rPr>
        <w:t xml:space="preserve">avoided by the introduction of s. 295, deeming the contracting carrier (liner company) </w:t>
      </w:r>
      <w:r w:rsidR="00D160DF">
        <w:rPr>
          <w:lang w:val="en-US"/>
        </w:rPr>
        <w:t xml:space="preserve">as </w:t>
      </w:r>
      <w:r w:rsidR="00A17912">
        <w:rPr>
          <w:lang w:val="en-US"/>
        </w:rPr>
        <w:t xml:space="preserve">the responsible party, while adding s. 286 </w:t>
      </w:r>
      <w:r w:rsidR="00D160DF">
        <w:rPr>
          <w:lang w:val="en-US"/>
        </w:rPr>
        <w:t xml:space="preserve">in </w:t>
      </w:r>
      <w:r w:rsidR="00A17912">
        <w:rPr>
          <w:lang w:val="en-US"/>
        </w:rPr>
        <w:t xml:space="preserve">holding (also) the performing carrier </w:t>
      </w:r>
      <w:r w:rsidR="00D160DF">
        <w:rPr>
          <w:lang w:val="en-US"/>
        </w:rPr>
        <w:t xml:space="preserve">liable </w:t>
      </w:r>
      <w:r w:rsidR="00A17912">
        <w:rPr>
          <w:lang w:val="en-US"/>
        </w:rPr>
        <w:t>as responsible party.</w:t>
      </w:r>
    </w:p>
    <w:p w:rsidR="00A17912" w:rsidRDefault="001174D1">
      <w:pPr>
        <w:rPr>
          <w:lang w:val="en-US"/>
        </w:rPr>
      </w:pPr>
      <w:r>
        <w:rPr>
          <w:lang w:val="en-US"/>
        </w:rPr>
        <w:t xml:space="preserve">On that </w:t>
      </w:r>
      <w:proofErr w:type="gramStart"/>
      <w:r>
        <w:rPr>
          <w:lang w:val="en-US"/>
        </w:rPr>
        <w:t>rationale</w:t>
      </w:r>
      <w:proofErr w:type="gramEnd"/>
      <w:r>
        <w:rPr>
          <w:lang w:val="en-US"/>
        </w:rPr>
        <w:t xml:space="preserve"> it is clear that the voyage charterer (Vega Shipping) would be deemed the equivalent of a co</w:t>
      </w:r>
      <w:r w:rsidR="00A17912">
        <w:rPr>
          <w:lang w:val="en-US"/>
        </w:rPr>
        <w:t>ntracting carrier (liner company)</w:t>
      </w:r>
      <w:r>
        <w:rPr>
          <w:lang w:val="en-US"/>
        </w:rPr>
        <w:t>.</w:t>
      </w:r>
      <w:r w:rsidR="00A17912">
        <w:rPr>
          <w:lang w:val="en-US"/>
        </w:rPr>
        <w:t xml:space="preserve"> Moreover, s. 347 refers to (amongst other) s. 295 while also referring to the application of s. 286 “</w:t>
      </w:r>
      <w:r w:rsidR="00152D85">
        <w:rPr>
          <w:lang w:val="en-US"/>
        </w:rPr>
        <w:t xml:space="preserve">… </w:t>
      </w:r>
      <w:r w:rsidR="00A17912">
        <w:rPr>
          <w:lang w:val="en-US"/>
        </w:rPr>
        <w:t xml:space="preserve">accordingly”. This indicates that both the head owners Genuine Shipping (performing carriers) and voyage charterers Vega Shipping (contracting carriers) </w:t>
      </w:r>
      <w:proofErr w:type="gramStart"/>
      <w:r w:rsidR="00A17912">
        <w:rPr>
          <w:lang w:val="en-US"/>
        </w:rPr>
        <w:t>could be held</w:t>
      </w:r>
      <w:proofErr w:type="gramEnd"/>
      <w:r w:rsidR="00A17912">
        <w:rPr>
          <w:lang w:val="en-US"/>
        </w:rPr>
        <w:t xml:space="preserve"> responsible.</w:t>
      </w:r>
    </w:p>
    <w:p w:rsidR="00476010" w:rsidRDefault="00A17912">
      <w:pPr>
        <w:rPr>
          <w:lang w:val="en-US"/>
        </w:rPr>
      </w:pPr>
      <w:r>
        <w:rPr>
          <w:lang w:val="en-US"/>
        </w:rPr>
        <w:t xml:space="preserve">However, the above illustration from the liner trade has </w:t>
      </w:r>
      <w:r w:rsidR="001174D1">
        <w:rPr>
          <w:lang w:val="en-US"/>
        </w:rPr>
        <w:t>no clear parallel in a plain charter</w:t>
      </w:r>
      <w:r>
        <w:rPr>
          <w:lang w:val="en-US"/>
        </w:rPr>
        <w:t>ing</w:t>
      </w:r>
      <w:r w:rsidR="001174D1">
        <w:rPr>
          <w:lang w:val="en-US"/>
        </w:rPr>
        <w:t xml:space="preserve"> situat</w:t>
      </w:r>
      <w:r>
        <w:rPr>
          <w:lang w:val="en-US"/>
        </w:rPr>
        <w:t>ion, as here. The tradition in chartering</w:t>
      </w:r>
      <w:r w:rsidR="001174D1">
        <w:rPr>
          <w:lang w:val="en-US"/>
        </w:rPr>
        <w:t xml:space="preserve"> is that head owner</w:t>
      </w:r>
      <w:r>
        <w:rPr>
          <w:lang w:val="en-US"/>
        </w:rPr>
        <w:t xml:space="preserve"> (Genuine Ship</w:t>
      </w:r>
      <w:r w:rsidR="00EE2D73">
        <w:rPr>
          <w:lang w:val="en-US"/>
        </w:rPr>
        <w:t>p</w:t>
      </w:r>
      <w:r>
        <w:rPr>
          <w:lang w:val="en-US"/>
        </w:rPr>
        <w:t>ing)</w:t>
      </w:r>
      <w:r w:rsidR="001174D1">
        <w:rPr>
          <w:lang w:val="en-US"/>
        </w:rPr>
        <w:t xml:space="preserve"> is t</w:t>
      </w:r>
      <w:r>
        <w:rPr>
          <w:lang w:val="en-US"/>
        </w:rPr>
        <w:t xml:space="preserve">he party to the bills; </w:t>
      </w:r>
      <w:r w:rsidR="00EE2D73">
        <w:rPr>
          <w:lang w:val="en-US"/>
        </w:rPr>
        <w:t xml:space="preserve">that company employs (and has nautical instruction right over) the master and </w:t>
      </w:r>
      <w:r w:rsidR="001174D1">
        <w:rPr>
          <w:lang w:val="en-US"/>
        </w:rPr>
        <w:t>crew</w:t>
      </w:r>
      <w:r w:rsidR="00EE2D73">
        <w:rPr>
          <w:lang w:val="en-US"/>
        </w:rPr>
        <w:t xml:space="preserve">, and that company takes out </w:t>
      </w:r>
      <w:proofErr w:type="spellStart"/>
      <w:r w:rsidR="001174D1">
        <w:rPr>
          <w:lang w:val="en-US"/>
        </w:rPr>
        <w:t>cargo-p&amp;I</w:t>
      </w:r>
      <w:proofErr w:type="spellEnd"/>
      <w:r w:rsidR="001174D1">
        <w:rPr>
          <w:lang w:val="en-US"/>
        </w:rPr>
        <w:t xml:space="preserve"> ins</w:t>
      </w:r>
      <w:r w:rsidR="00152D85">
        <w:rPr>
          <w:lang w:val="en-US"/>
        </w:rPr>
        <w:t>urance etc. F</w:t>
      </w:r>
      <w:r w:rsidR="00EE2D73">
        <w:rPr>
          <w:lang w:val="en-US"/>
        </w:rPr>
        <w:t xml:space="preserve">or such reasons, </w:t>
      </w:r>
      <w:r w:rsidR="00152D85">
        <w:rPr>
          <w:lang w:val="en-US"/>
        </w:rPr>
        <w:t xml:space="preserve">it is </w:t>
      </w:r>
      <w:r w:rsidR="001174D1">
        <w:rPr>
          <w:lang w:val="en-US"/>
        </w:rPr>
        <w:t xml:space="preserve">also not so that a cargo owner would </w:t>
      </w:r>
      <w:r w:rsidR="00EE2D73">
        <w:rPr>
          <w:lang w:val="en-US"/>
        </w:rPr>
        <w:t xml:space="preserve">typically </w:t>
      </w:r>
      <w:r w:rsidR="001174D1">
        <w:rPr>
          <w:lang w:val="en-US"/>
        </w:rPr>
        <w:t>wish to claim against a managing owner</w:t>
      </w:r>
      <w:r>
        <w:rPr>
          <w:lang w:val="en-US"/>
        </w:rPr>
        <w:t xml:space="preserve"> (Vega Shipping</w:t>
      </w:r>
      <w:r w:rsidR="00152D85">
        <w:rPr>
          <w:lang w:val="en-US"/>
        </w:rPr>
        <w:t>)</w:t>
      </w:r>
      <w:r w:rsidR="001174D1">
        <w:rPr>
          <w:lang w:val="en-US"/>
        </w:rPr>
        <w:t>. Hence, it seems doubtful that the reference i</w:t>
      </w:r>
      <w:r w:rsidR="00EE2D73">
        <w:rPr>
          <w:lang w:val="en-US"/>
        </w:rPr>
        <w:t xml:space="preserve">n the MC </w:t>
      </w:r>
      <w:proofErr w:type="spellStart"/>
      <w:r w:rsidR="00EE2D73">
        <w:rPr>
          <w:lang w:val="en-US"/>
        </w:rPr>
        <w:t>ch</w:t>
      </w:r>
      <w:proofErr w:type="spellEnd"/>
      <w:r w:rsidR="00EE2D73">
        <w:rPr>
          <w:lang w:val="en-US"/>
        </w:rPr>
        <w:t xml:space="preserve"> 14, s. 347 to s. 295</w:t>
      </w:r>
      <w:r w:rsidR="001174D1">
        <w:rPr>
          <w:lang w:val="en-US"/>
        </w:rPr>
        <w:t xml:space="preserve"> </w:t>
      </w:r>
      <w:proofErr w:type="gramStart"/>
      <w:r w:rsidR="001174D1">
        <w:rPr>
          <w:lang w:val="en-US"/>
        </w:rPr>
        <w:t>is</w:t>
      </w:r>
      <w:r w:rsidR="00EE2D73">
        <w:rPr>
          <w:lang w:val="en-US"/>
        </w:rPr>
        <w:t xml:space="preserve"> well thought</w:t>
      </w:r>
      <w:proofErr w:type="gramEnd"/>
      <w:r w:rsidR="00EE2D73">
        <w:rPr>
          <w:lang w:val="en-US"/>
        </w:rPr>
        <w:t xml:space="preserve"> through (which is the conclusion in a </w:t>
      </w:r>
      <w:r w:rsidR="001174D1">
        <w:rPr>
          <w:lang w:val="en-US"/>
        </w:rPr>
        <w:t xml:space="preserve">solid master thesis published in </w:t>
      </w:r>
      <w:proofErr w:type="spellStart"/>
      <w:r w:rsidR="001174D1">
        <w:rPr>
          <w:lang w:val="en-US"/>
        </w:rPr>
        <w:t>MarIus</w:t>
      </w:r>
      <w:proofErr w:type="spellEnd"/>
      <w:r w:rsidR="00EE2D73">
        <w:rPr>
          <w:lang w:val="en-US"/>
        </w:rPr>
        <w:t xml:space="preserve"> some years ago). </w:t>
      </w:r>
    </w:p>
    <w:p w:rsidR="001174D1" w:rsidRDefault="001174D1">
      <w:pPr>
        <w:rPr>
          <w:lang w:val="en-US"/>
        </w:rPr>
      </w:pPr>
      <w:r>
        <w:rPr>
          <w:lang w:val="en-US"/>
        </w:rPr>
        <w:t>Th</w:t>
      </w:r>
      <w:r w:rsidR="00EE2D73">
        <w:rPr>
          <w:lang w:val="en-US"/>
        </w:rPr>
        <w:t xml:space="preserve">e above </w:t>
      </w:r>
      <w:proofErr w:type="gramStart"/>
      <w:r>
        <w:rPr>
          <w:lang w:val="en-US"/>
        </w:rPr>
        <w:t>is further complicated</w:t>
      </w:r>
      <w:proofErr w:type="gramEnd"/>
      <w:r>
        <w:rPr>
          <w:lang w:val="en-US"/>
        </w:rPr>
        <w:t xml:space="preserve"> by the facts </w:t>
      </w:r>
      <w:r w:rsidR="00EE2D73">
        <w:rPr>
          <w:lang w:val="en-US"/>
        </w:rPr>
        <w:t xml:space="preserve">of the case, </w:t>
      </w:r>
      <w:r>
        <w:rPr>
          <w:lang w:val="en-US"/>
        </w:rPr>
        <w:t>stating that it is the port agents on behalf of the Master who signs</w:t>
      </w:r>
      <w:r w:rsidR="00EE2D73">
        <w:rPr>
          <w:lang w:val="en-US"/>
        </w:rPr>
        <w:t xml:space="preserve"> the bills</w:t>
      </w:r>
      <w:r w:rsidR="00152D85">
        <w:rPr>
          <w:lang w:val="en-US"/>
        </w:rPr>
        <w:t xml:space="preserve"> – not the master himself who signs, as contemplated in MC s 295</w:t>
      </w:r>
      <w:r w:rsidR="00EE2D73">
        <w:rPr>
          <w:lang w:val="en-US"/>
        </w:rPr>
        <w:t>.</w:t>
      </w:r>
    </w:p>
    <w:p w:rsidR="001174D1" w:rsidRDefault="001174D1">
      <w:pPr>
        <w:rPr>
          <w:lang w:val="en-US"/>
        </w:rPr>
      </w:pPr>
      <w:r>
        <w:rPr>
          <w:lang w:val="en-US"/>
        </w:rPr>
        <w:lastRenderedPageBreak/>
        <w:t xml:space="preserve">It </w:t>
      </w:r>
      <w:proofErr w:type="gramStart"/>
      <w:r>
        <w:rPr>
          <w:lang w:val="en-US"/>
        </w:rPr>
        <w:t xml:space="preserve">is </w:t>
      </w:r>
      <w:r w:rsidR="00EE2D73">
        <w:rPr>
          <w:lang w:val="en-US"/>
        </w:rPr>
        <w:t xml:space="preserve">however </w:t>
      </w:r>
      <w:r>
        <w:rPr>
          <w:lang w:val="en-US"/>
        </w:rPr>
        <w:t>not expected</w:t>
      </w:r>
      <w:proofErr w:type="gramEnd"/>
      <w:r>
        <w:rPr>
          <w:lang w:val="en-US"/>
        </w:rPr>
        <w:t xml:space="preserve"> that candidates see this uncertainty relating to the applicability of the MC</w:t>
      </w:r>
      <w:r w:rsidR="00EE2D73">
        <w:rPr>
          <w:lang w:val="en-US"/>
        </w:rPr>
        <w:t>, including s. 295</w:t>
      </w:r>
      <w:r>
        <w:rPr>
          <w:lang w:val="en-US"/>
        </w:rPr>
        <w:t xml:space="preserve">. </w:t>
      </w:r>
      <w:proofErr w:type="gramStart"/>
      <w:r>
        <w:rPr>
          <w:lang w:val="en-US"/>
        </w:rPr>
        <w:t xml:space="preserve">It must be fine that they find </w:t>
      </w:r>
      <w:r w:rsidR="00EE2D73">
        <w:rPr>
          <w:lang w:val="en-US"/>
        </w:rPr>
        <w:t xml:space="preserve">that </w:t>
      </w:r>
      <w:r>
        <w:rPr>
          <w:lang w:val="en-US"/>
        </w:rPr>
        <w:t>the one or the other</w:t>
      </w:r>
      <w:r w:rsidR="00EE2D73">
        <w:rPr>
          <w:lang w:val="en-US"/>
        </w:rPr>
        <w:t xml:space="preserve"> party</w:t>
      </w:r>
      <w:r>
        <w:rPr>
          <w:lang w:val="en-US"/>
        </w:rPr>
        <w:t>, or possibly both</w:t>
      </w:r>
      <w:r w:rsidR="00EE2D73">
        <w:rPr>
          <w:lang w:val="en-US"/>
        </w:rPr>
        <w:t xml:space="preserve">, </w:t>
      </w:r>
      <w:r>
        <w:rPr>
          <w:lang w:val="en-US"/>
        </w:rPr>
        <w:t xml:space="preserve">could be deemed the </w:t>
      </w:r>
      <w:r w:rsidR="00EE2D73">
        <w:rPr>
          <w:lang w:val="en-US"/>
        </w:rPr>
        <w:t>responsible party under the bills, although the “safest” way, by applying the Code, would be to discuss and apply s. 295 along the lines indicated above;</w:t>
      </w:r>
      <w:r w:rsidR="00152D85">
        <w:rPr>
          <w:lang w:val="en-US"/>
        </w:rPr>
        <w:t xml:space="preserve"> Vega Shipping is the contracting carrier, Genuine Shipping is the performing carrier, in that MC s 286 is applied “accordingly” (to a liner trade situation).</w:t>
      </w:r>
      <w:proofErr w:type="gramEnd"/>
      <w:r w:rsidR="00152D85">
        <w:rPr>
          <w:lang w:val="en-US"/>
        </w:rPr>
        <w:t xml:space="preserve"> Hence, i</w:t>
      </w:r>
      <w:r w:rsidR="00EE2D73">
        <w:rPr>
          <w:lang w:val="en-US"/>
        </w:rPr>
        <w:t xml:space="preserve">t is not to </w:t>
      </w:r>
      <w:proofErr w:type="gramStart"/>
      <w:r w:rsidR="00EE2D73">
        <w:rPr>
          <w:lang w:val="en-US"/>
        </w:rPr>
        <w:t>be expected</w:t>
      </w:r>
      <w:proofErr w:type="gramEnd"/>
      <w:r w:rsidR="00EE2D73">
        <w:rPr>
          <w:lang w:val="en-US"/>
        </w:rPr>
        <w:t xml:space="preserve"> that they know how such application is complicated in practical life, in the chartering trade. </w:t>
      </w:r>
    </w:p>
    <w:p w:rsidR="00A27159" w:rsidRDefault="00A27159">
      <w:pPr>
        <w:rPr>
          <w:lang w:val="en-US"/>
        </w:rPr>
      </w:pPr>
    </w:p>
    <w:p w:rsidR="00A27159" w:rsidRDefault="00A27159">
      <w:pPr>
        <w:rPr>
          <w:lang w:val="en-US"/>
        </w:rPr>
      </w:pPr>
      <w:r>
        <w:rPr>
          <w:lang w:val="en-US"/>
        </w:rPr>
        <w:t>Part III</w:t>
      </w:r>
    </w:p>
    <w:p w:rsidR="001174D1" w:rsidRDefault="001174D1">
      <w:pPr>
        <w:rPr>
          <w:lang w:val="en-US"/>
        </w:rPr>
      </w:pPr>
      <w:r>
        <w:rPr>
          <w:lang w:val="en-US"/>
        </w:rPr>
        <w:t xml:space="preserve">Q </w:t>
      </w:r>
      <w:r w:rsidR="003D38E6">
        <w:rPr>
          <w:lang w:val="en-US"/>
        </w:rPr>
        <w:t>4</w:t>
      </w:r>
      <w:r>
        <w:rPr>
          <w:lang w:val="en-US"/>
        </w:rPr>
        <w:t>:</w:t>
      </w:r>
    </w:p>
    <w:p w:rsidR="00A27159" w:rsidRDefault="001174D1">
      <w:pPr>
        <w:rPr>
          <w:lang w:val="en-US"/>
        </w:rPr>
      </w:pPr>
      <w:r>
        <w:rPr>
          <w:lang w:val="en-US"/>
        </w:rPr>
        <w:t>This is strictly speaking outside the ambit of the contract</w:t>
      </w:r>
      <w:r w:rsidR="00C86A1B">
        <w:rPr>
          <w:lang w:val="en-US"/>
        </w:rPr>
        <w:t xml:space="preserve"> law</w:t>
      </w:r>
      <w:r>
        <w:rPr>
          <w:lang w:val="en-US"/>
        </w:rPr>
        <w:t xml:space="preserve"> course since it involves potential questions of tort. </w:t>
      </w:r>
      <w:r w:rsidR="009B0895">
        <w:rPr>
          <w:lang w:val="en-US"/>
        </w:rPr>
        <w:t>The point is that candidates sho</w:t>
      </w:r>
      <w:r>
        <w:rPr>
          <w:lang w:val="en-US"/>
        </w:rPr>
        <w:t xml:space="preserve">uld be able to see that there is no contractual relation between the </w:t>
      </w:r>
      <w:r w:rsidR="00C86A1B">
        <w:rPr>
          <w:lang w:val="en-US"/>
        </w:rPr>
        <w:t xml:space="preserve">claimant </w:t>
      </w:r>
      <w:r>
        <w:rPr>
          <w:lang w:val="en-US"/>
        </w:rPr>
        <w:t xml:space="preserve">cargo owner and </w:t>
      </w:r>
      <w:proofErr w:type="spellStart"/>
      <w:r>
        <w:rPr>
          <w:lang w:val="en-US"/>
        </w:rPr>
        <w:t>Kr.sand</w:t>
      </w:r>
      <w:proofErr w:type="spellEnd"/>
      <w:r>
        <w:rPr>
          <w:lang w:val="en-US"/>
        </w:rPr>
        <w:t xml:space="preserve"> </w:t>
      </w:r>
      <w:proofErr w:type="spellStart"/>
      <w:r>
        <w:rPr>
          <w:lang w:val="en-US"/>
        </w:rPr>
        <w:t>Stividaar</w:t>
      </w:r>
      <w:proofErr w:type="spellEnd"/>
      <w:r>
        <w:rPr>
          <w:lang w:val="en-US"/>
        </w:rPr>
        <w:t xml:space="preserve"> as </w:t>
      </w:r>
      <w:proofErr w:type="spellStart"/>
      <w:r>
        <w:rPr>
          <w:lang w:val="en-US"/>
        </w:rPr>
        <w:t>tortfeasor</w:t>
      </w:r>
      <w:proofErr w:type="spellEnd"/>
      <w:r>
        <w:rPr>
          <w:lang w:val="en-US"/>
        </w:rPr>
        <w:t xml:space="preserve">. </w:t>
      </w:r>
    </w:p>
    <w:p w:rsidR="001174D1" w:rsidRDefault="00824C52">
      <w:pPr>
        <w:rPr>
          <w:lang w:val="en-US"/>
        </w:rPr>
      </w:pPr>
      <w:r>
        <w:rPr>
          <w:lang w:val="en-US"/>
        </w:rPr>
        <w:t xml:space="preserve">One could ask whether the stevedores </w:t>
      </w:r>
      <w:proofErr w:type="gramStart"/>
      <w:r>
        <w:rPr>
          <w:lang w:val="en-US"/>
        </w:rPr>
        <w:t>would be considered</w:t>
      </w:r>
      <w:proofErr w:type="gramEnd"/>
      <w:r>
        <w:rPr>
          <w:lang w:val="en-US"/>
        </w:rPr>
        <w:t xml:space="preserve"> servants of the </w:t>
      </w:r>
      <w:r w:rsidR="00C86A1B">
        <w:rPr>
          <w:lang w:val="en-US"/>
        </w:rPr>
        <w:t>carrier</w:t>
      </w:r>
      <w:r w:rsidR="00A27159">
        <w:rPr>
          <w:lang w:val="en-US"/>
        </w:rPr>
        <w:t xml:space="preserve"> (see discussion under q 1). I</w:t>
      </w:r>
      <w:r>
        <w:rPr>
          <w:lang w:val="en-US"/>
        </w:rPr>
        <w:t>f so s.</w:t>
      </w:r>
      <w:r w:rsidR="00A27159">
        <w:rPr>
          <w:lang w:val="en-US"/>
        </w:rPr>
        <w:t xml:space="preserve"> 282</w:t>
      </w:r>
      <w:proofErr w:type="gramStart"/>
      <w:r w:rsidR="00A27159">
        <w:rPr>
          <w:lang w:val="en-US"/>
        </w:rPr>
        <w:t>,2</w:t>
      </w:r>
      <w:proofErr w:type="gramEnd"/>
      <w:r>
        <w:rPr>
          <w:lang w:val="en-US"/>
        </w:rPr>
        <w:t xml:space="preserve"> provides that these are protected by the Himalaya-type provision of the Code, meaning that the claimant shall not be any better off </w:t>
      </w:r>
      <w:r w:rsidR="009B0895">
        <w:rPr>
          <w:lang w:val="en-US"/>
        </w:rPr>
        <w:t xml:space="preserve">by </w:t>
      </w:r>
      <w:r>
        <w:rPr>
          <w:lang w:val="en-US"/>
        </w:rPr>
        <w:t>cla</w:t>
      </w:r>
      <w:r w:rsidR="00A27159">
        <w:rPr>
          <w:lang w:val="en-US"/>
        </w:rPr>
        <w:t>iming against such servants</w:t>
      </w:r>
      <w:r w:rsidR="009B0895">
        <w:rPr>
          <w:lang w:val="en-US"/>
        </w:rPr>
        <w:t xml:space="preserve"> than</w:t>
      </w:r>
      <w:r>
        <w:rPr>
          <w:lang w:val="en-US"/>
        </w:rPr>
        <w:t xml:space="preserve"> </w:t>
      </w:r>
      <w:r w:rsidR="009B0895">
        <w:rPr>
          <w:lang w:val="en-US"/>
        </w:rPr>
        <w:t xml:space="preserve">by </w:t>
      </w:r>
      <w:r>
        <w:rPr>
          <w:lang w:val="en-US"/>
        </w:rPr>
        <w:t>claiming against the carrier</w:t>
      </w:r>
      <w:r w:rsidR="00A27159">
        <w:rPr>
          <w:lang w:val="en-US"/>
        </w:rPr>
        <w:t xml:space="preserve">. </w:t>
      </w:r>
      <w:r w:rsidR="00152D85">
        <w:rPr>
          <w:lang w:val="en-US"/>
        </w:rPr>
        <w:t xml:space="preserve">Hence, </w:t>
      </w:r>
      <w:r w:rsidR="00C11F75">
        <w:rPr>
          <w:lang w:val="en-US"/>
        </w:rPr>
        <w:t xml:space="preserve">if the facts had been so that </w:t>
      </w:r>
      <w:r>
        <w:rPr>
          <w:lang w:val="en-US"/>
        </w:rPr>
        <w:t xml:space="preserve">it was a stevedoring company assisting in the present cargo carrying performance, retained by the </w:t>
      </w:r>
      <w:proofErr w:type="spellStart"/>
      <w:r>
        <w:rPr>
          <w:lang w:val="en-US"/>
        </w:rPr>
        <w:t>shipowner</w:t>
      </w:r>
      <w:proofErr w:type="spellEnd"/>
      <w:r>
        <w:rPr>
          <w:lang w:val="en-US"/>
        </w:rPr>
        <w:t>/carrier</w:t>
      </w:r>
      <w:r w:rsidR="00C11F75">
        <w:rPr>
          <w:lang w:val="en-US"/>
        </w:rPr>
        <w:t xml:space="preserve">, who caused the damage, a </w:t>
      </w:r>
      <w:r>
        <w:rPr>
          <w:lang w:val="en-US"/>
        </w:rPr>
        <w:t>claim</w:t>
      </w:r>
      <w:r w:rsidR="00C11F75">
        <w:rPr>
          <w:lang w:val="en-US"/>
        </w:rPr>
        <w:t xml:space="preserve"> against such stevedores</w:t>
      </w:r>
      <w:r>
        <w:rPr>
          <w:lang w:val="en-US"/>
        </w:rPr>
        <w:t xml:space="preserve"> would be directly covered by s.</w:t>
      </w:r>
      <w:r w:rsidR="0059787E">
        <w:rPr>
          <w:lang w:val="en-US"/>
        </w:rPr>
        <w:t xml:space="preserve"> 282</w:t>
      </w:r>
      <w:proofErr w:type="gramStart"/>
      <w:r w:rsidR="0059787E">
        <w:rPr>
          <w:lang w:val="en-US"/>
        </w:rPr>
        <w:t>,2</w:t>
      </w:r>
      <w:proofErr w:type="gramEnd"/>
      <w:r w:rsidR="0059787E">
        <w:rPr>
          <w:lang w:val="en-US"/>
        </w:rPr>
        <w:t xml:space="preserve">. </w:t>
      </w:r>
    </w:p>
    <w:p w:rsidR="00824C52" w:rsidRDefault="00C11F75">
      <w:pPr>
        <w:rPr>
          <w:lang w:val="en-US"/>
        </w:rPr>
      </w:pPr>
      <w:r>
        <w:rPr>
          <w:lang w:val="en-US"/>
        </w:rPr>
        <w:t xml:space="preserve">A complicating factor (ref q 1) is however that the stevedores did not assist (and cause damage) in such a capacity, but rather as a (regular) third party servant. </w:t>
      </w:r>
      <w:r w:rsidR="00824C52">
        <w:rPr>
          <w:lang w:val="en-US"/>
        </w:rPr>
        <w:t>This question has not been much up for decision</w:t>
      </w:r>
      <w:r w:rsidR="00A27159">
        <w:rPr>
          <w:lang w:val="en-US"/>
        </w:rPr>
        <w:t>/discussion</w:t>
      </w:r>
      <w:r w:rsidR="00824C52">
        <w:rPr>
          <w:lang w:val="en-US"/>
        </w:rPr>
        <w:t xml:space="preserve"> under Norwegian/Nordic law. </w:t>
      </w:r>
      <w:r w:rsidR="00A27159">
        <w:rPr>
          <w:lang w:val="en-US"/>
        </w:rPr>
        <w:t xml:space="preserve">It is worth mentioning </w:t>
      </w:r>
      <w:r w:rsidR="0059787E">
        <w:rPr>
          <w:lang w:val="en-US"/>
        </w:rPr>
        <w:t xml:space="preserve">(although candidates </w:t>
      </w:r>
      <w:proofErr w:type="gramStart"/>
      <w:r w:rsidR="0059787E">
        <w:rPr>
          <w:lang w:val="en-US"/>
        </w:rPr>
        <w:t>are not expected</w:t>
      </w:r>
      <w:proofErr w:type="gramEnd"/>
      <w:r w:rsidR="0059787E">
        <w:rPr>
          <w:lang w:val="en-US"/>
        </w:rPr>
        <w:t xml:space="preserve"> to know) </w:t>
      </w:r>
      <w:r w:rsidR="00A27159">
        <w:rPr>
          <w:lang w:val="en-US"/>
        </w:rPr>
        <w:t xml:space="preserve">that </w:t>
      </w:r>
      <w:r w:rsidR="00824C52">
        <w:rPr>
          <w:lang w:val="en-US"/>
        </w:rPr>
        <w:t xml:space="preserve">it </w:t>
      </w:r>
      <w:r w:rsidR="00A27159">
        <w:rPr>
          <w:lang w:val="en-US"/>
        </w:rPr>
        <w:t xml:space="preserve">is </w:t>
      </w:r>
      <w:r>
        <w:rPr>
          <w:lang w:val="en-US"/>
        </w:rPr>
        <w:t xml:space="preserve">generally </w:t>
      </w:r>
      <w:r w:rsidR="00A27159">
        <w:rPr>
          <w:lang w:val="en-US"/>
        </w:rPr>
        <w:t xml:space="preserve">a live topic </w:t>
      </w:r>
      <w:r w:rsidR="00824C52">
        <w:rPr>
          <w:lang w:val="en-US"/>
        </w:rPr>
        <w:t xml:space="preserve">under US law. </w:t>
      </w:r>
      <w:proofErr w:type="gramStart"/>
      <w:r w:rsidR="00824C52">
        <w:rPr>
          <w:lang w:val="en-US"/>
        </w:rPr>
        <w:t>Here the constellation has typically been: Occasioned by the low l</w:t>
      </w:r>
      <w:r w:rsidR="00A27159">
        <w:rPr>
          <w:lang w:val="en-US"/>
        </w:rPr>
        <w:t>imitation amounts of the Hague R</w:t>
      </w:r>
      <w:r w:rsidR="00824C52">
        <w:rPr>
          <w:lang w:val="en-US"/>
        </w:rPr>
        <w:t>ules (as implemented in t</w:t>
      </w:r>
      <w:r w:rsidR="00A27159">
        <w:rPr>
          <w:lang w:val="en-US"/>
        </w:rPr>
        <w:t>he US COGSA), cargo owners typically try</w:t>
      </w:r>
      <w:r w:rsidR="00824C52">
        <w:rPr>
          <w:lang w:val="en-US"/>
        </w:rPr>
        <w:t xml:space="preserve"> to claim against stevedores in tort, thus avoiding any limitation amount, while the courts have generally responded by adopting a wide understanding of the concept </w:t>
      </w:r>
      <w:r w:rsidR="00A27159">
        <w:rPr>
          <w:lang w:val="en-US"/>
        </w:rPr>
        <w:t xml:space="preserve">of </w:t>
      </w:r>
      <w:r w:rsidR="0059787E">
        <w:rPr>
          <w:lang w:val="en-US"/>
        </w:rPr>
        <w:t>“carrier”, thus deeming</w:t>
      </w:r>
      <w:r w:rsidR="00824C52">
        <w:rPr>
          <w:lang w:val="en-US"/>
        </w:rPr>
        <w:t xml:space="preserve"> e.g. stevedoring defendants to be “carrier</w:t>
      </w:r>
      <w:r w:rsidR="00A27159">
        <w:rPr>
          <w:lang w:val="en-US"/>
        </w:rPr>
        <w:t>s</w:t>
      </w:r>
      <w:r w:rsidR="00824C52">
        <w:rPr>
          <w:lang w:val="en-US"/>
        </w:rPr>
        <w:t>”</w:t>
      </w:r>
      <w:r w:rsidR="00A27159">
        <w:rPr>
          <w:lang w:val="en-US"/>
        </w:rPr>
        <w:t>,</w:t>
      </w:r>
      <w:r w:rsidR="00824C52">
        <w:rPr>
          <w:lang w:val="en-US"/>
        </w:rPr>
        <w:t xml:space="preserve"> and with the limitation rights intact, sim</w:t>
      </w:r>
      <w:r w:rsidR="0059787E">
        <w:rPr>
          <w:lang w:val="en-US"/>
        </w:rPr>
        <w:t>ilar to what is the intention behind</w:t>
      </w:r>
      <w:r w:rsidR="00824C52">
        <w:rPr>
          <w:lang w:val="en-US"/>
        </w:rPr>
        <w:t xml:space="preserve"> MC s.</w:t>
      </w:r>
      <w:r w:rsidR="00A27159">
        <w:rPr>
          <w:lang w:val="en-US"/>
        </w:rPr>
        <w:t xml:space="preserve"> 282,2 (which </w:t>
      </w:r>
      <w:r w:rsidR="0059787E">
        <w:rPr>
          <w:lang w:val="en-US"/>
        </w:rPr>
        <w:t xml:space="preserve">originates </w:t>
      </w:r>
      <w:r w:rsidR="00824C52">
        <w:rPr>
          <w:lang w:val="en-US"/>
        </w:rPr>
        <w:t>from the Hague-Visby Rules</w:t>
      </w:r>
      <w:r>
        <w:rPr>
          <w:lang w:val="en-US"/>
        </w:rPr>
        <w:t>, not the Hague Rules</w:t>
      </w:r>
      <w:r w:rsidR="00A27159">
        <w:rPr>
          <w:lang w:val="en-US"/>
        </w:rPr>
        <w:t>)</w:t>
      </w:r>
      <w:r w:rsidR="00824C52">
        <w:rPr>
          <w:lang w:val="en-US"/>
        </w:rPr>
        <w:t>.</w:t>
      </w:r>
      <w:proofErr w:type="gramEnd"/>
    </w:p>
    <w:p w:rsidR="00824C52" w:rsidRDefault="0059787E">
      <w:pPr>
        <w:rPr>
          <w:lang w:val="en-US"/>
        </w:rPr>
      </w:pPr>
      <w:r>
        <w:rPr>
          <w:lang w:val="en-US"/>
        </w:rPr>
        <w:t>In</w:t>
      </w:r>
      <w:r w:rsidR="00824C52">
        <w:rPr>
          <w:lang w:val="en-US"/>
        </w:rPr>
        <w:t xml:space="preserve"> assessing </w:t>
      </w:r>
      <w:r w:rsidR="00A27159">
        <w:rPr>
          <w:lang w:val="en-US"/>
        </w:rPr>
        <w:t>the candidates’ answers</w:t>
      </w:r>
      <w:r w:rsidR="009D67C4">
        <w:rPr>
          <w:lang w:val="en-US"/>
        </w:rPr>
        <w:t>, it must be considered acceptable that they see that this is a claim outside of contract</w:t>
      </w:r>
      <w:r w:rsidR="00A27159">
        <w:rPr>
          <w:lang w:val="en-US"/>
        </w:rPr>
        <w:t>,</w:t>
      </w:r>
      <w:r w:rsidR="009D67C4">
        <w:rPr>
          <w:lang w:val="en-US"/>
        </w:rPr>
        <w:t xml:space="preserve"> and either state that it belongs to general tort law, and/or see the point about MC s.</w:t>
      </w:r>
      <w:r>
        <w:rPr>
          <w:lang w:val="en-US"/>
        </w:rPr>
        <w:t xml:space="preserve"> 282</w:t>
      </w:r>
      <w:proofErr w:type="gramStart"/>
      <w:r>
        <w:rPr>
          <w:lang w:val="en-US"/>
        </w:rPr>
        <w:t>,2</w:t>
      </w:r>
      <w:proofErr w:type="gramEnd"/>
      <w:r w:rsidR="009D67C4">
        <w:rPr>
          <w:lang w:val="en-US"/>
        </w:rPr>
        <w:t xml:space="preserve"> regu</w:t>
      </w:r>
      <w:r w:rsidR="00C11F75">
        <w:rPr>
          <w:lang w:val="en-US"/>
        </w:rPr>
        <w:t>lating a similar type situation and that, for such reasons, whatever liability would be subject to limitation rules.</w:t>
      </w:r>
    </w:p>
    <w:p w:rsidR="009D67C4" w:rsidRDefault="009D67C4">
      <w:pPr>
        <w:rPr>
          <w:lang w:val="en-US"/>
        </w:rPr>
      </w:pPr>
      <w:r>
        <w:rPr>
          <w:lang w:val="en-US"/>
        </w:rPr>
        <w:t xml:space="preserve">If they connect to their answer in q 1, by holding that </w:t>
      </w:r>
      <w:proofErr w:type="spellStart"/>
      <w:r>
        <w:rPr>
          <w:lang w:val="en-US"/>
        </w:rPr>
        <w:t>Kr.sand</w:t>
      </w:r>
      <w:proofErr w:type="spellEnd"/>
      <w:r>
        <w:rPr>
          <w:lang w:val="en-US"/>
        </w:rPr>
        <w:t xml:space="preserve"> </w:t>
      </w:r>
      <w:proofErr w:type="spellStart"/>
      <w:r>
        <w:rPr>
          <w:lang w:val="en-US"/>
        </w:rPr>
        <w:t>Stividaars</w:t>
      </w:r>
      <w:proofErr w:type="spellEnd"/>
      <w:r>
        <w:rPr>
          <w:lang w:val="en-US"/>
        </w:rPr>
        <w:t xml:space="preserve"> are to </w:t>
      </w:r>
      <w:proofErr w:type="gramStart"/>
      <w:r>
        <w:rPr>
          <w:lang w:val="en-US"/>
        </w:rPr>
        <w:t>be deemed</w:t>
      </w:r>
      <w:proofErr w:type="gramEnd"/>
      <w:r>
        <w:rPr>
          <w:lang w:val="en-US"/>
        </w:rPr>
        <w:t xml:space="preserve"> servants of Vega Shipping within the context of carriage of a different cargo</w:t>
      </w:r>
      <w:r w:rsidR="0059787E">
        <w:rPr>
          <w:lang w:val="en-US"/>
        </w:rPr>
        <w:t xml:space="preserve"> than the one at hand</w:t>
      </w:r>
      <w:r>
        <w:rPr>
          <w:lang w:val="en-US"/>
        </w:rPr>
        <w:t>, the</w:t>
      </w:r>
      <w:r w:rsidR="0059787E">
        <w:rPr>
          <w:lang w:val="en-US"/>
        </w:rPr>
        <w:t>n they would have a connecting point for reasoning also under this Part III. That</w:t>
      </w:r>
      <w:r>
        <w:rPr>
          <w:lang w:val="en-US"/>
        </w:rPr>
        <w:t xml:space="preserve"> would be a sophisticated way of connecting </w:t>
      </w:r>
      <w:r w:rsidR="00001CE7">
        <w:rPr>
          <w:lang w:val="en-US"/>
        </w:rPr>
        <w:t>the topics</w:t>
      </w:r>
      <w:r w:rsidR="0059787E">
        <w:rPr>
          <w:lang w:val="en-US"/>
        </w:rPr>
        <w:t xml:space="preserve"> and </w:t>
      </w:r>
      <w:proofErr w:type="gramStart"/>
      <w:r w:rsidR="0059787E">
        <w:rPr>
          <w:lang w:val="en-US"/>
        </w:rPr>
        <w:t xml:space="preserve">should </w:t>
      </w:r>
      <w:r>
        <w:rPr>
          <w:lang w:val="en-US"/>
        </w:rPr>
        <w:t>be rewarded</w:t>
      </w:r>
      <w:proofErr w:type="gramEnd"/>
      <w:r>
        <w:rPr>
          <w:lang w:val="en-US"/>
        </w:rPr>
        <w:t>.</w:t>
      </w:r>
    </w:p>
    <w:p w:rsidR="009D67C4" w:rsidRDefault="009D67C4">
      <w:pPr>
        <w:rPr>
          <w:lang w:val="en-US"/>
        </w:rPr>
      </w:pPr>
    </w:p>
    <w:p w:rsidR="009D67C4" w:rsidRDefault="009D67C4">
      <w:pPr>
        <w:rPr>
          <w:lang w:val="en-US"/>
        </w:rPr>
      </w:pPr>
      <w:r>
        <w:rPr>
          <w:lang w:val="en-US"/>
        </w:rPr>
        <w:t>Trond Solvang - December 2020</w:t>
      </w:r>
    </w:p>
    <w:p w:rsidR="00D64640" w:rsidRPr="00A23536" w:rsidRDefault="00476010">
      <w:pPr>
        <w:rPr>
          <w:lang w:val="en-US"/>
        </w:rPr>
      </w:pPr>
      <w:r>
        <w:rPr>
          <w:lang w:val="en-US"/>
        </w:rPr>
        <w:t xml:space="preserve"> </w:t>
      </w:r>
    </w:p>
    <w:sectPr w:rsidR="00D64640" w:rsidRPr="00A2353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D3" w:rsidRDefault="00F964D3" w:rsidP="00A37515">
      <w:pPr>
        <w:spacing w:after="0" w:line="240" w:lineRule="auto"/>
      </w:pPr>
      <w:r>
        <w:separator/>
      </w:r>
    </w:p>
  </w:endnote>
  <w:endnote w:type="continuationSeparator" w:id="0">
    <w:p w:rsidR="00F964D3" w:rsidRDefault="00F964D3" w:rsidP="00A3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180446"/>
      <w:docPartObj>
        <w:docPartGallery w:val="Page Numbers (Bottom of Page)"/>
        <w:docPartUnique/>
      </w:docPartObj>
    </w:sdtPr>
    <w:sdtEndPr/>
    <w:sdtContent>
      <w:p w:rsidR="00A37515" w:rsidRDefault="00A37515">
        <w:pPr>
          <w:pStyle w:val="Bunntekst"/>
          <w:jc w:val="center"/>
        </w:pPr>
        <w:r>
          <w:fldChar w:fldCharType="begin"/>
        </w:r>
        <w:r>
          <w:instrText>PAGE   \* MERGEFORMAT</w:instrText>
        </w:r>
        <w:r>
          <w:fldChar w:fldCharType="separate"/>
        </w:r>
        <w:r w:rsidR="0090148C">
          <w:rPr>
            <w:noProof/>
          </w:rPr>
          <w:t>4</w:t>
        </w:r>
        <w:r>
          <w:fldChar w:fldCharType="end"/>
        </w:r>
      </w:p>
    </w:sdtContent>
  </w:sdt>
  <w:p w:rsidR="00A37515" w:rsidRDefault="00A3751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D3" w:rsidRDefault="00F964D3" w:rsidP="00A37515">
      <w:pPr>
        <w:spacing w:after="0" w:line="240" w:lineRule="auto"/>
      </w:pPr>
      <w:r>
        <w:separator/>
      </w:r>
    </w:p>
  </w:footnote>
  <w:footnote w:type="continuationSeparator" w:id="0">
    <w:p w:rsidR="00F964D3" w:rsidRDefault="00F964D3" w:rsidP="00A375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2F"/>
    <w:rsid w:val="00001CE7"/>
    <w:rsid w:val="00007C53"/>
    <w:rsid w:val="001174D1"/>
    <w:rsid w:val="00152D85"/>
    <w:rsid w:val="00171793"/>
    <w:rsid w:val="001B282F"/>
    <w:rsid w:val="00224404"/>
    <w:rsid w:val="0036399E"/>
    <w:rsid w:val="003D38E6"/>
    <w:rsid w:val="004576E2"/>
    <w:rsid w:val="00476010"/>
    <w:rsid w:val="004A5D4A"/>
    <w:rsid w:val="0059787E"/>
    <w:rsid w:val="00597DB2"/>
    <w:rsid w:val="007A6467"/>
    <w:rsid w:val="00824C52"/>
    <w:rsid w:val="0090148C"/>
    <w:rsid w:val="00937B4B"/>
    <w:rsid w:val="00942EB6"/>
    <w:rsid w:val="009B0895"/>
    <w:rsid w:val="009D67C4"/>
    <w:rsid w:val="00A17912"/>
    <w:rsid w:val="00A23536"/>
    <w:rsid w:val="00A27159"/>
    <w:rsid w:val="00A37515"/>
    <w:rsid w:val="00AC5CF8"/>
    <w:rsid w:val="00AE203E"/>
    <w:rsid w:val="00BC5F60"/>
    <w:rsid w:val="00C11F75"/>
    <w:rsid w:val="00C86A1B"/>
    <w:rsid w:val="00CA467A"/>
    <w:rsid w:val="00CE4537"/>
    <w:rsid w:val="00D0791C"/>
    <w:rsid w:val="00D160DF"/>
    <w:rsid w:val="00D20262"/>
    <w:rsid w:val="00D474CA"/>
    <w:rsid w:val="00D64640"/>
    <w:rsid w:val="00E63094"/>
    <w:rsid w:val="00E75FF3"/>
    <w:rsid w:val="00EE2D73"/>
    <w:rsid w:val="00F964D3"/>
    <w:rsid w:val="00FF05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1D53"/>
  <w15:chartTrackingRefBased/>
  <w15:docId w15:val="{A1F02837-75A9-44BA-ACFF-04170DB7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3751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37515"/>
  </w:style>
  <w:style w:type="paragraph" w:styleId="Bunntekst">
    <w:name w:val="footer"/>
    <w:basedOn w:val="Normal"/>
    <w:link w:val="BunntekstTegn"/>
    <w:uiPriority w:val="99"/>
    <w:unhideWhenUsed/>
    <w:rsid w:val="00A3751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37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4</Pages>
  <Words>2177</Words>
  <Characters>11543</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dc:creator>
  <cp:keywords/>
  <dc:description/>
  <cp:lastModifiedBy>Trond</cp:lastModifiedBy>
  <cp:revision>12</cp:revision>
  <dcterms:created xsi:type="dcterms:W3CDTF">2020-11-22T18:42:00Z</dcterms:created>
  <dcterms:modified xsi:type="dcterms:W3CDTF">2020-12-16T17:59:00Z</dcterms:modified>
</cp:coreProperties>
</file>