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CD" w:rsidRPr="00737CAD" w:rsidRDefault="004E07E7" w:rsidP="00A600CD">
      <w:pPr>
        <w:pStyle w:val="Heading1"/>
        <w:spacing w:before="0" w:line="360" w:lineRule="auto"/>
        <w:jc w:val="center"/>
      </w:pPr>
      <w:bookmarkStart w:id="0" w:name="_GoBack"/>
      <w:bookmarkEnd w:id="0"/>
      <w:r w:rsidRPr="00737CAD">
        <w:t>T</w:t>
      </w:r>
      <w:r w:rsidR="006F7907" w:rsidRPr="00737CAD">
        <w:t xml:space="preserve">rygderett </w:t>
      </w:r>
      <w:r w:rsidRPr="00737CAD">
        <w:t>(JUR1960/JUS5960)</w:t>
      </w:r>
    </w:p>
    <w:p w:rsidR="006F7907" w:rsidRPr="00737CAD" w:rsidRDefault="00A600CD" w:rsidP="00A600CD">
      <w:pPr>
        <w:pStyle w:val="Heading1"/>
        <w:spacing w:before="0" w:line="360" w:lineRule="auto"/>
        <w:jc w:val="center"/>
      </w:pPr>
      <w:r w:rsidRPr="00737CAD">
        <w:t xml:space="preserve">Undervisningsplan </w:t>
      </w:r>
      <w:r w:rsidR="004E07E7" w:rsidRPr="00737CAD">
        <w:t>v</w:t>
      </w:r>
      <w:r w:rsidR="006F7907" w:rsidRPr="00737CAD">
        <w:t>åren 201</w:t>
      </w:r>
      <w:r w:rsidR="00B24C72">
        <w:t>8</w:t>
      </w:r>
    </w:p>
    <w:p w:rsidR="00A600CD" w:rsidRPr="00737CAD" w:rsidRDefault="00CC6835" w:rsidP="00CC6835">
      <w:pPr>
        <w:spacing w:after="0" w:line="360" w:lineRule="auto"/>
        <w:jc w:val="right"/>
      </w:pPr>
      <w:r>
        <w:t xml:space="preserve">Oppdatert </w:t>
      </w:r>
      <w:r w:rsidR="00130D00">
        <w:t>25</w:t>
      </w:r>
      <w:r w:rsidR="00C1504E" w:rsidRPr="00737CAD">
        <w:t xml:space="preserve">. </w:t>
      </w:r>
      <w:r w:rsidR="0019529D">
        <w:t>februar 2018</w:t>
      </w:r>
    </w:p>
    <w:p w:rsidR="004E07E7" w:rsidRDefault="00A600CD" w:rsidP="004E07E7">
      <w:pPr>
        <w:pStyle w:val="Heading2"/>
        <w:spacing w:before="0" w:line="360" w:lineRule="auto"/>
      </w:pPr>
      <w:r w:rsidRPr="00737CAD">
        <w:t>Oversikt over forelesningene</w:t>
      </w:r>
    </w:p>
    <w:p w:rsidR="001C6A2B" w:rsidRPr="00790799" w:rsidRDefault="001C6A2B" w:rsidP="00790799">
      <w:r w:rsidRPr="00790799">
        <w:rPr>
          <w:b/>
        </w:rPr>
        <w:t>Tidspunkt:</w:t>
      </w:r>
      <w:r w:rsidRPr="00790799">
        <w:t xml:space="preserve"> Forelesningene holdes onsdager fra kl 10.15-12.00, fra den </w:t>
      </w:r>
      <w:r w:rsidR="00B24C72">
        <w:t>31</w:t>
      </w:r>
      <w:r w:rsidRPr="00790799">
        <w:t xml:space="preserve">. januar til </w:t>
      </w:r>
      <w:r w:rsidR="00B24C72">
        <w:t>11</w:t>
      </w:r>
      <w:r w:rsidRPr="00790799">
        <w:t xml:space="preserve">. </w:t>
      </w:r>
      <w:r w:rsidR="00B24C72">
        <w:t>april</w:t>
      </w:r>
      <w:r w:rsidRPr="00790799">
        <w:t>.</w:t>
      </w:r>
      <w:r w:rsidR="00130D00">
        <w:t xml:space="preserve"> Den 28. februar er tidspunktet 9.15-11.00.</w:t>
      </w:r>
    </w:p>
    <w:p w:rsidR="00B24C72" w:rsidRPr="00407FAF" w:rsidRDefault="007364EF" w:rsidP="00B24C72">
      <w:pPr>
        <w:spacing w:after="0"/>
        <w:rPr>
          <w:lang w:val="nn-NO"/>
        </w:rPr>
      </w:pPr>
      <w:r w:rsidRPr="00790799">
        <w:rPr>
          <w:b/>
        </w:rPr>
        <w:t>Sted:</w:t>
      </w:r>
      <w:r w:rsidRPr="00790799">
        <w:t xml:space="preserve"> Forelesningene holdes i </w:t>
      </w:r>
      <w:r w:rsidR="0019529D">
        <w:t>to ulike lokaler – se den enkelte forelesning for detaljer</w:t>
      </w:r>
      <w:r w:rsidR="00B24C72">
        <w:t>.</w:t>
      </w:r>
    </w:p>
    <w:p w:rsidR="007364EF" w:rsidRPr="00407FAF" w:rsidRDefault="007364EF" w:rsidP="00790799">
      <w:pPr>
        <w:rPr>
          <w:lang w:val="nn-NO"/>
        </w:rPr>
      </w:pPr>
    </w:p>
    <w:p w:rsidR="00790799" w:rsidRPr="00790799" w:rsidRDefault="00790799" w:rsidP="00790799">
      <w:pPr>
        <w:spacing w:after="0"/>
        <w:rPr>
          <w:b/>
        </w:rPr>
      </w:pPr>
      <w:r w:rsidRPr="00790799">
        <w:rPr>
          <w:b/>
        </w:rPr>
        <w:t>Mer informasjon:</w:t>
      </w:r>
    </w:p>
    <w:p w:rsidR="00B24C72" w:rsidRPr="00790799" w:rsidRDefault="00386686" w:rsidP="00790799">
      <w:pPr>
        <w:spacing w:after="0"/>
      </w:pPr>
      <w:r w:rsidRPr="00790799">
        <w:t xml:space="preserve">Oppdatert informasjon om emnet, undervisning og eksamen ligger på semestersidene: </w:t>
      </w:r>
      <w:hyperlink r:id="rId5" w:history="1">
        <w:r w:rsidR="00B24C72" w:rsidRPr="0033617A">
          <w:rPr>
            <w:rStyle w:val="Hyperlink"/>
          </w:rPr>
          <w:t>http://www.uio.no/studier/emner/jus/jus/JUS5960/v18/index.html</w:t>
        </w:r>
      </w:hyperlink>
      <w:r w:rsidR="00B24C72">
        <w:t xml:space="preserve"> </w:t>
      </w:r>
    </w:p>
    <w:p w:rsidR="005107A6" w:rsidRPr="00790799" w:rsidRDefault="005107A6" w:rsidP="00790799">
      <w:pPr>
        <w:spacing w:after="0"/>
      </w:pPr>
      <w:r w:rsidRPr="00790799">
        <w:t xml:space="preserve">Her vil det også </w:t>
      </w:r>
      <w:r w:rsidR="00B24C72">
        <w:t xml:space="preserve">ligge </w:t>
      </w:r>
      <w:r w:rsidRPr="00790799">
        <w:t xml:space="preserve">informasjon om «Introduksjonskurs i juss» for studenter som </w:t>
      </w:r>
      <w:r w:rsidR="00790799">
        <w:t xml:space="preserve">har </w:t>
      </w:r>
      <w:r w:rsidRPr="00790799">
        <w:t xml:space="preserve">annen </w:t>
      </w:r>
      <w:r w:rsidR="00B24C72">
        <w:t>fag</w:t>
      </w:r>
      <w:r w:rsidRPr="00790799">
        <w:t>bakgrunn enn rettsvitenskap.</w:t>
      </w:r>
    </w:p>
    <w:p w:rsidR="00386686" w:rsidRDefault="00386686" w:rsidP="00790799">
      <w:pPr>
        <w:spacing w:after="0"/>
      </w:pPr>
      <w:r w:rsidRPr="00790799">
        <w:t xml:space="preserve">Kursets fronterrom er åpent for påmeldte studenter: </w:t>
      </w:r>
      <w:hyperlink r:id="rId6" w:history="1">
        <w:r w:rsidRPr="00790799">
          <w:rPr>
            <w:rStyle w:val="Hyperlink"/>
          </w:rPr>
          <w:t>https://fronter.com/uio/</w:t>
        </w:r>
      </w:hyperlink>
      <w:r w:rsidRPr="00790799">
        <w:t xml:space="preserve"> </w:t>
      </w:r>
    </w:p>
    <w:p w:rsidR="00790799" w:rsidRPr="00790799" w:rsidRDefault="00790799" w:rsidP="00790799">
      <w:pPr>
        <w:spacing w:after="0"/>
      </w:pPr>
    </w:p>
    <w:p w:rsidR="006F7907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Introduksjon. Historisk, grunnleggende prinsipper og begreper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</w:t>
      </w:r>
      <w:r w:rsidR="00B24C72">
        <w:t>31</w:t>
      </w:r>
      <w:r w:rsidR="001C6A2B" w:rsidRPr="00790799">
        <w:t>. januar kl 10.15-12.00</w:t>
      </w:r>
    </w:p>
    <w:p w:rsidR="0019529D" w:rsidRPr="00790799" w:rsidRDefault="0019529D" w:rsidP="00790799">
      <w:pPr>
        <w:spacing w:after="0"/>
      </w:pPr>
      <w:r>
        <w:t>Sted: St.Olavsgate 23, Rom 212</w:t>
      </w:r>
    </w:p>
    <w:p w:rsidR="00C60F48" w:rsidRPr="00790799" w:rsidRDefault="00C60F48" w:rsidP="00790799">
      <w:pPr>
        <w:spacing w:after="0"/>
      </w:pPr>
      <w:r w:rsidRPr="00790799">
        <w:t>Leseliste:</w:t>
      </w:r>
    </w:p>
    <w:p w:rsidR="00232B89" w:rsidRPr="00790799" w:rsidRDefault="006B024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232B89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Innledning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»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kapittel 1, 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s. 19-37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, 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6B024B" w:rsidRPr="00790799" w:rsidRDefault="006B024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i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232B89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Folketrygdens særpreg og plass i samfunnet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»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,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kapittel 9, </w:t>
      </w:r>
      <w:r w:rsidR="00232B89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s. 226-261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 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  <w:r w:rsidR="00DF3085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(*)</w:t>
      </w:r>
    </w:p>
    <w:p w:rsidR="00A100C7" w:rsidRPr="00790799" w:rsidRDefault="00A100C7" w:rsidP="00790799">
      <w:pPr>
        <w:pStyle w:val="ListParagraph"/>
        <w:numPr>
          <w:ilvl w:val="0"/>
          <w:numId w:val="11"/>
        </w:numPr>
        <w:spacing w:after="0"/>
        <w:rPr>
          <w:lang w:val="nn-NO"/>
        </w:rPr>
      </w:pPr>
      <w:r w:rsidRPr="00790799">
        <w:rPr>
          <w:rFonts w:cs="Arial"/>
          <w:b/>
          <w:bCs/>
          <w:color w:val="2B2B2B"/>
          <w:lang w:val="nn-NO"/>
        </w:rPr>
        <w:t>Refsdal:</w:t>
      </w:r>
      <w:r w:rsidRPr="00790799">
        <w:rPr>
          <w:rFonts w:cs="Arial"/>
          <w:color w:val="2B2B2B"/>
          <w:lang w:val="nn-NO"/>
        </w:rPr>
        <w:t xml:space="preserve"> «Vedtaksorgana i trygderettsprosessen med særlig fokus på NAV», </w:t>
      </w:r>
      <w:r w:rsidRPr="00790799">
        <w:rPr>
          <w:rFonts w:cs="Arial"/>
          <w:i/>
          <w:color w:val="2B2B2B"/>
          <w:lang w:val="nn-NO"/>
        </w:rPr>
        <w:t>Tidsskrift for Erstatningsrett, forsikringsrett og velferdsrett</w:t>
      </w:r>
      <w:r w:rsidRPr="00790799">
        <w:rPr>
          <w:rFonts w:cs="Arial"/>
          <w:color w:val="2B2B2B"/>
          <w:lang w:val="nn-NO"/>
        </w:rPr>
        <w:t xml:space="preserve"> 2010, s. 121-146 (Tilgjengelig gjennom </w:t>
      </w:r>
      <w:r w:rsidR="00FD094A" w:rsidRPr="00790799">
        <w:rPr>
          <w:rFonts w:cs="Arial"/>
          <w:i/>
          <w:color w:val="2B2B2B"/>
          <w:lang w:val="nn-NO"/>
        </w:rPr>
        <w:t>Idunn.no</w:t>
      </w:r>
      <w:r w:rsidRPr="00790799">
        <w:rPr>
          <w:rFonts w:cs="Arial"/>
          <w:color w:val="2B2B2B"/>
          <w:lang w:val="nn-NO"/>
        </w:rPr>
        <w:t>) (*)</w:t>
      </w:r>
    </w:p>
    <w:p w:rsidR="00232B89" w:rsidRPr="00790799" w:rsidRDefault="00232B89" w:rsidP="00790799">
      <w:pPr>
        <w:shd w:val="clear" w:color="auto" w:fill="FFFFFF"/>
        <w:spacing w:after="0"/>
        <w:rPr>
          <w:lang w:val="nn-NO"/>
        </w:rPr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Rettskilder, rettssikkerhet, rettighetsbegreper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 xml:space="preserve">spunkt: Onsdag </w:t>
      </w:r>
      <w:r w:rsidR="00B24C72">
        <w:t>7</w:t>
      </w:r>
      <w:r w:rsidR="001C6A2B" w:rsidRPr="00790799">
        <w:t>. februar kl 10.15-12.00</w:t>
      </w:r>
    </w:p>
    <w:p w:rsidR="0019529D" w:rsidRPr="00790799" w:rsidRDefault="0019529D" w:rsidP="0019529D">
      <w:pPr>
        <w:spacing w:after="0"/>
      </w:pPr>
      <w:r>
        <w:t>Sted: St.Olavsgate 23, Rom 212</w:t>
      </w:r>
    </w:p>
    <w:p w:rsidR="00C60F48" w:rsidRPr="00790799" w:rsidRDefault="00C60F48" w:rsidP="00790799">
      <w:pPr>
        <w:tabs>
          <w:tab w:val="left" w:pos="2040"/>
        </w:tabs>
        <w:spacing w:after="0"/>
      </w:pPr>
      <w:r w:rsidRPr="00790799">
        <w:t>Leseliste:</w:t>
      </w:r>
      <w:r w:rsidR="003134B1" w:rsidRPr="00790799">
        <w:tab/>
      </w:r>
    </w:p>
    <w:p w:rsidR="00FD018A" w:rsidRPr="00790799" w:rsidRDefault="003134B1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</w:t>
      </w:r>
      <w:r w:rsidR="00FD018A"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:</w:t>
      </w:r>
      <w:r w:rsidR="00FD018A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>«Rettskildene i trygderetten»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kap. 2: s. 38-57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, </w:t>
      </w:r>
      <w:r w:rsidR="00FD018A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Innføring i trygderett</w:t>
      </w:r>
      <w:r w:rsidR="00FD018A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FD018A" w:rsidRPr="00790799" w:rsidRDefault="00FD018A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«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Rettssikkerhet»,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kap</w:t>
      </w:r>
      <w:r w:rsidR="003134B1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.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3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3134B1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s. 58-70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</w:t>
      </w:r>
      <w:r w:rsidR="00237B7D"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 Innføring i trygderett</w:t>
      </w:r>
      <w:r w:rsidR="00237B7D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DD4C7E" w:rsidRPr="00790799" w:rsidRDefault="00DD4C7E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  <w:lang w:val="nn-NO"/>
        </w:rPr>
        <w:t xml:space="preserve">Ikdahl: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«Hvilken vekt skal man legge på Trygderettens praksis?», i 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Cand.mag., cand.med., cand.jur., cand.alt. Festskrift til Aslak Syse 70 år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R Førde, M Kjelland og U Stridbeck (red.), Gyldendal Juridisk, 2016 s. 309-320 (K)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  <w:lang w:val="nn-NO"/>
        </w:rPr>
        <w:t>Boe: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«NAVs veilednings- og opplysningsplikt», i 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>Cand.mag., cand.med., cand.jur., cand.alt. Festskrift til Aslak Syse 70 år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R Førde, M Kjelland og U Stridbeck (red.), Gyl</w:t>
      </w:r>
      <w:r w:rsidR="00DD4C7E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dendal Juridisk, 2016 s. 89-100 </w:t>
      </w:r>
      <w:r w:rsidR="00FD094A"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(K)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Narvland</w:t>
      </w:r>
      <w:r w:rsidR="00DD4C7E" w:rsidRPr="00790799">
        <w:rPr>
          <w:rFonts w:asciiTheme="minorHAnsi" w:hAnsiTheme="minorHAnsi" w:cs="Arial"/>
          <w:b/>
          <w:color w:val="2B2B2B"/>
          <w:sz w:val="22"/>
          <w:szCs w:val="22"/>
        </w:rPr>
        <w:t>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«Betydningen av svikt i NAVs veiledningsplikt»,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Tidsskrift for erstatningsrett, forsikringsrett og velferdsrett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2013 s. 26-47 </w:t>
      </w:r>
      <w:r w:rsidR="00FD094A" w:rsidRPr="00790799">
        <w:rPr>
          <w:rFonts w:asciiTheme="minorHAnsi" w:hAnsiTheme="minorHAnsi" w:cs="Arial"/>
          <w:color w:val="2B2B2B"/>
          <w:sz w:val="22"/>
          <w:szCs w:val="22"/>
        </w:rPr>
        <w:t xml:space="preserve">(Tilgjengelig gjennom </w:t>
      </w:r>
      <w:r w:rsidR="00FD094A" w:rsidRPr="00790799">
        <w:rPr>
          <w:rFonts w:asciiTheme="minorHAnsi" w:hAnsiTheme="minorHAnsi" w:cs="Arial"/>
          <w:i/>
          <w:color w:val="2B2B2B"/>
          <w:sz w:val="22"/>
          <w:szCs w:val="22"/>
        </w:rPr>
        <w:t>Idunn.no</w:t>
      </w:r>
      <w:r w:rsidR="00FD094A"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B24C72" w:rsidRPr="00790799" w:rsidRDefault="00B24C72" w:rsidP="00B24C72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/>
          <w:sz w:val="22"/>
          <w:szCs w:val="22"/>
          <w:lang w:val="da-DK"/>
        </w:rPr>
      </w:pPr>
    </w:p>
    <w:p w:rsidR="00B24C72" w:rsidRPr="00790799" w:rsidRDefault="00B24C72" w:rsidP="00B24C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Sykepenger</w:t>
      </w:r>
    </w:p>
    <w:p w:rsidR="00B24C72" w:rsidRPr="00790799" w:rsidRDefault="00B24C72" w:rsidP="00B24C72">
      <w:pPr>
        <w:spacing w:after="0"/>
      </w:pPr>
      <w:r w:rsidRPr="00790799">
        <w:t xml:space="preserve">Foreleser: </w:t>
      </w:r>
      <w:r>
        <w:t>Mona K Løken</w:t>
      </w:r>
    </w:p>
    <w:p w:rsidR="00B24C72" w:rsidRPr="00790799" w:rsidRDefault="00B24C72" w:rsidP="00B24C72">
      <w:pPr>
        <w:spacing w:after="0"/>
      </w:pPr>
      <w:r w:rsidRPr="00790799">
        <w:t>Tidspunkt: Onsdag 1</w:t>
      </w:r>
      <w:r>
        <w:t>4</w:t>
      </w:r>
      <w:r w:rsidRPr="00790799">
        <w:t xml:space="preserve">. februar kl 10.15-12.00 </w:t>
      </w:r>
    </w:p>
    <w:p w:rsidR="0019529D" w:rsidRDefault="0019529D" w:rsidP="00B24C72">
      <w:pPr>
        <w:spacing w:after="0"/>
      </w:pPr>
      <w:r>
        <w:t>Sted: Aud. 13, Domus Media (i Østfløyen, inngang fra baksiden)</w:t>
      </w:r>
    </w:p>
    <w:p w:rsidR="00B24C72" w:rsidRPr="00790799" w:rsidRDefault="00B24C72" w:rsidP="00B24C72">
      <w:pPr>
        <w:spacing w:after="0"/>
      </w:pPr>
      <w:r w:rsidRPr="00790799">
        <w:t>Leseliste: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  <w:lang w:val="nn-NO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 «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Trygderettens korttidsytelser»,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kap. 4, s. 73-93,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nn-NO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2009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Holgersen: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«Sykdom, symptomer og diagnoser. Folketrygdens sykdomsvilkår i lys av nyere rettspraksis» i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Velferd og rettferd. Festskrift til Asbjørn Kjønstad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, K Ketscher, K Lilleholt, E Smith og A Syse (red.), Gyldendal Juridisk, 2013 s. 301-314 (tilgjengelig gjennom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Rettsdata.no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B24C72" w:rsidRPr="00790799" w:rsidRDefault="00B24C72" w:rsidP="00B24C72">
      <w:pPr>
        <w:spacing w:after="0"/>
      </w:pPr>
    </w:p>
    <w:p w:rsidR="00B24C72" w:rsidRPr="00790799" w:rsidRDefault="00B24C72" w:rsidP="00B24C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Arbeidsavklaringspenger. Dagpenger</w:t>
      </w:r>
    </w:p>
    <w:p w:rsidR="00B24C72" w:rsidRPr="00790799" w:rsidRDefault="00B24C72" w:rsidP="00B24C72">
      <w:pPr>
        <w:spacing w:after="0"/>
      </w:pPr>
      <w:r w:rsidRPr="00790799">
        <w:t xml:space="preserve">Foreleser: </w:t>
      </w:r>
      <w:r>
        <w:t>Mona K Løken</w:t>
      </w:r>
    </w:p>
    <w:p w:rsidR="00B24C72" w:rsidRPr="00790799" w:rsidRDefault="00B24C72" w:rsidP="00B24C72">
      <w:pPr>
        <w:spacing w:after="0"/>
      </w:pPr>
      <w:r w:rsidRPr="00790799">
        <w:t>Tidspunkt: Onsdag 2</w:t>
      </w:r>
      <w:r>
        <w:t>1</w:t>
      </w:r>
      <w:r w:rsidRPr="00790799">
        <w:t>. februar kl 10.15-12.00</w:t>
      </w:r>
    </w:p>
    <w:p w:rsidR="0019529D" w:rsidRDefault="0019529D" w:rsidP="0019529D">
      <w:pPr>
        <w:spacing w:after="0"/>
      </w:pPr>
      <w:r>
        <w:t>Sted: Aud. 13, Domus Media (i Østfløyen, inngang fra baksiden)</w:t>
      </w:r>
    </w:p>
    <w:p w:rsidR="00B24C72" w:rsidRPr="00790799" w:rsidRDefault="00B24C72" w:rsidP="00B24C72">
      <w:pPr>
        <w:spacing w:after="0"/>
      </w:pPr>
      <w:r w:rsidRPr="00790799">
        <w:t>Leseliste: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«Folketrygdytelser i omstillingsperioder», kapittel 5.1 «Dagpenger», s. 102-116),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2009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Svele: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«Arbeidsavklaringspenger – en ny ytelse fra folketrygden»,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Tidsskrift for erstatningsrett, forsikringsrett og velferdsrett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2010, s. 42-75 (tilgjengelig gjennom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Svele: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«Arbeidsevnevurdering og aktivitetsplan som verktøy for NAV og som vilkår for trygderettigheter»,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Tidsskrift for erstatningsrett, forsikringsrett og velferdsrett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2012, s. 71-98 (tilgjengelig gjennom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B24C72" w:rsidRPr="00790799" w:rsidRDefault="00B24C72" w:rsidP="00B24C72">
      <w:pPr>
        <w:spacing w:after="0"/>
      </w:pPr>
    </w:p>
    <w:p w:rsidR="00B24C72" w:rsidRPr="00790799" w:rsidRDefault="00B24C72" w:rsidP="00B24C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Uføretrygd</w:t>
      </w:r>
    </w:p>
    <w:p w:rsidR="00B24C72" w:rsidRPr="00790799" w:rsidRDefault="00B24C72" w:rsidP="00B24C72">
      <w:pPr>
        <w:spacing w:after="0"/>
      </w:pPr>
      <w:r w:rsidRPr="00790799">
        <w:t>Foreleser: Morten Kjelland</w:t>
      </w:r>
    </w:p>
    <w:p w:rsidR="00B24C72" w:rsidRPr="00790799" w:rsidRDefault="00B24C72" w:rsidP="00B24C72">
      <w:pPr>
        <w:spacing w:after="0"/>
      </w:pPr>
      <w:r w:rsidRPr="00790799">
        <w:t xml:space="preserve">Tidspunkt: Onsdag </w:t>
      </w:r>
      <w:r>
        <w:t>2</w:t>
      </w:r>
      <w:r w:rsidRPr="00790799">
        <w:t xml:space="preserve">8. </w:t>
      </w:r>
      <w:r>
        <w:t xml:space="preserve">februar </w:t>
      </w:r>
      <w:r w:rsidRPr="00130D00">
        <w:rPr>
          <w:highlight w:val="yellow"/>
          <w:u w:val="single"/>
        </w:rPr>
        <w:t xml:space="preserve">kl </w:t>
      </w:r>
      <w:r w:rsidR="00130D00" w:rsidRPr="00130D00">
        <w:rPr>
          <w:highlight w:val="yellow"/>
          <w:u w:val="single"/>
        </w:rPr>
        <w:t>9</w:t>
      </w:r>
      <w:r w:rsidRPr="00130D00">
        <w:rPr>
          <w:highlight w:val="yellow"/>
          <w:u w:val="single"/>
        </w:rPr>
        <w:t>.15-1</w:t>
      </w:r>
      <w:r w:rsidR="00130D00" w:rsidRPr="00130D00">
        <w:rPr>
          <w:highlight w:val="yellow"/>
          <w:u w:val="single"/>
        </w:rPr>
        <w:t>1</w:t>
      </w:r>
      <w:r w:rsidRPr="00130D00">
        <w:rPr>
          <w:highlight w:val="yellow"/>
          <w:u w:val="single"/>
        </w:rPr>
        <w:t>.00</w:t>
      </w:r>
      <w:r w:rsidR="00130D00" w:rsidRPr="00130D00">
        <w:rPr>
          <w:highlight w:val="yellow"/>
          <w:u w:val="single"/>
        </w:rPr>
        <w:t xml:space="preserve"> (merk tidspunktet!</w:t>
      </w:r>
      <w:r w:rsidR="00130D00" w:rsidRPr="00130D00">
        <w:rPr>
          <w:highlight w:val="yellow"/>
        </w:rPr>
        <w:t>)</w:t>
      </w:r>
    </w:p>
    <w:p w:rsidR="0019529D" w:rsidRPr="00790799" w:rsidRDefault="0019529D" w:rsidP="0019529D">
      <w:pPr>
        <w:spacing w:after="0"/>
      </w:pPr>
      <w:r>
        <w:t>Sted: St.Olavsgate 23, Rom 212</w:t>
      </w:r>
    </w:p>
    <w:p w:rsidR="00B24C72" w:rsidRPr="00790799" w:rsidRDefault="00B24C72" w:rsidP="00B24C72">
      <w:pPr>
        <w:spacing w:after="0"/>
      </w:pPr>
      <w:r w:rsidRPr="00790799">
        <w:t>Leseliste: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Holgersen: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Folketrygdloven kapittel 12 om uføretrygd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, Norsk Lovkommentar, Gyldendal, elektronisk utgave, oppdateres fortløpende (tilgjengelig gjennom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rettsdata.no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B24C72" w:rsidRPr="00790799" w:rsidRDefault="00B24C72" w:rsidP="00B24C72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Johnson: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«Et kritisk blikk på medisinske vilkår for rett til ytelser som ung ufør», i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Cand.mag., cand.med., cand.jur., cand.alt. Festskrift til Aslak Syse 70 år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, R Førde, M Kjelland og U Stridbeck (red.), Gyldendal Juridisk, 2016 s. 321-332 (K)</w:t>
      </w:r>
    </w:p>
    <w:p w:rsidR="003134B1" w:rsidRPr="00790799" w:rsidRDefault="003134B1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1C6A2B" w:rsidRPr="00790799" w:rsidRDefault="001C6A2B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Barneomsorg og familieforhold 1: Foreldrepenger, omsorgspenger, kontantstøtte, barnetrygd og etterlatteytelser</w:t>
      </w:r>
    </w:p>
    <w:p w:rsidR="001C6A2B" w:rsidRPr="00790799" w:rsidRDefault="001C6A2B" w:rsidP="00790799">
      <w:pPr>
        <w:spacing w:after="0"/>
      </w:pPr>
      <w:r w:rsidRPr="00790799">
        <w:t>Foreleser: Ingunn Ikdahl</w:t>
      </w:r>
    </w:p>
    <w:p w:rsidR="001C6A2B" w:rsidRPr="00790799" w:rsidRDefault="001C6A2B" w:rsidP="00790799">
      <w:pPr>
        <w:spacing w:after="0"/>
      </w:pPr>
      <w:r w:rsidRPr="00790799">
        <w:t xml:space="preserve">Tidspunkt: Onsdag </w:t>
      </w:r>
      <w:r w:rsidR="00B24C72">
        <w:t>7</w:t>
      </w:r>
      <w:r w:rsidRPr="00790799">
        <w:t xml:space="preserve">. </w:t>
      </w:r>
      <w:r w:rsidR="00B24C72">
        <w:t xml:space="preserve">mars </w:t>
      </w:r>
      <w:r w:rsidRPr="00790799">
        <w:t>kl 10.15-12.00</w:t>
      </w:r>
    </w:p>
    <w:p w:rsidR="0019529D" w:rsidRDefault="0019529D" w:rsidP="0019529D">
      <w:pPr>
        <w:spacing w:after="0"/>
      </w:pPr>
      <w:r>
        <w:t>Sted: Aud. 13, Domus Media (i Østfløyen, inngang fra baksiden)</w:t>
      </w:r>
    </w:p>
    <w:p w:rsidR="001C6A2B" w:rsidRPr="00790799" w:rsidRDefault="001C6A2B" w:rsidP="00790799">
      <w:pPr>
        <w:spacing w:after="0"/>
      </w:pPr>
      <w:r w:rsidRPr="00790799">
        <w:t>Leseliste:</w:t>
      </w:r>
    </w:p>
    <w:p w:rsidR="001C6A2B" w:rsidRPr="00790799" w:rsidRDefault="001C6A2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Kjønstad: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«Trygderettens korttidsytelser»,</w:t>
      </w: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4, s. 93-101,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2009</w:t>
      </w:r>
    </w:p>
    <w:p w:rsidR="001C6A2B" w:rsidRPr="00790799" w:rsidRDefault="001C6A2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</w:t>
      </w: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«Etterlattepensjon»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,</w:t>
      </w: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6.3, s. 183-189,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2009</w:t>
      </w:r>
    </w:p>
    <w:p w:rsidR="001C6A2B" w:rsidRPr="00790799" w:rsidRDefault="001C6A2B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da-DK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  <w:lang w:val="da-DK"/>
        </w:rPr>
        <w:lastRenderedPageBreak/>
        <w:t>Ketscher:</w:t>
      </w:r>
      <w:r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 xml:space="preserve"> </w:t>
      </w:r>
      <w:r w:rsidRPr="00790799">
        <w:rPr>
          <w:rFonts w:asciiTheme="minorHAnsi" w:hAnsiTheme="minorHAnsi" w:cs="Arial"/>
          <w:i/>
          <w:color w:val="2B2B2B"/>
          <w:sz w:val="22"/>
          <w:szCs w:val="22"/>
          <w:lang w:val="da-DK"/>
        </w:rPr>
        <w:t>Socialret: Principper, Rettigheder, Værdier</w:t>
      </w:r>
      <w:r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>, Karnov Forlag, 2014 (4.utg). Kap. 4, «Om forsørgelses</w:t>
      </w:r>
      <w:r w:rsidR="00DD4C7E"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>retlige sammenhænge», s 87-116</w:t>
      </w:r>
      <w:r w:rsidRPr="00790799">
        <w:rPr>
          <w:rFonts w:asciiTheme="minorHAnsi" w:hAnsiTheme="minorHAnsi" w:cs="Arial"/>
          <w:color w:val="2B2B2B"/>
          <w:sz w:val="22"/>
          <w:szCs w:val="22"/>
          <w:lang w:val="da-DK"/>
        </w:rPr>
        <w:t xml:space="preserve"> (K)</w:t>
      </w:r>
    </w:p>
    <w:p w:rsidR="00B24C72" w:rsidRPr="00790799" w:rsidRDefault="00B24C72" w:rsidP="00B24C72">
      <w:pPr>
        <w:spacing w:after="0"/>
      </w:pPr>
    </w:p>
    <w:p w:rsidR="00B24C72" w:rsidRPr="00790799" w:rsidRDefault="00B24C72" w:rsidP="00B24C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Uføretrygd (forts.). Krav om årssakssammenheng i trygderetten</w:t>
      </w:r>
    </w:p>
    <w:p w:rsidR="00B24C72" w:rsidRPr="00790799" w:rsidRDefault="00B24C72" w:rsidP="00B24C72">
      <w:pPr>
        <w:spacing w:after="0"/>
      </w:pPr>
      <w:r w:rsidRPr="00790799">
        <w:t>Foreleser: Morten Kjelland</w:t>
      </w:r>
    </w:p>
    <w:p w:rsidR="00B24C72" w:rsidRPr="00790799" w:rsidRDefault="00B24C72" w:rsidP="00B24C72">
      <w:pPr>
        <w:spacing w:after="0"/>
      </w:pPr>
      <w:r w:rsidRPr="00790799">
        <w:t>Tidspunkt: Onsdag 1</w:t>
      </w:r>
      <w:r>
        <w:t>4</w:t>
      </w:r>
      <w:r w:rsidRPr="00790799">
        <w:t>. mars kl 10.15-12.00</w:t>
      </w:r>
    </w:p>
    <w:p w:rsidR="0019529D" w:rsidRDefault="0019529D" w:rsidP="0019529D">
      <w:pPr>
        <w:spacing w:after="0"/>
      </w:pPr>
      <w:r>
        <w:t>Sted: Aud. 13, Domus Media (i Østfløyen, inngang fra baksiden)</w:t>
      </w:r>
    </w:p>
    <w:p w:rsidR="00B24C72" w:rsidRPr="00790799" w:rsidRDefault="00B24C72" w:rsidP="00B24C72">
      <w:pPr>
        <w:spacing w:after="0"/>
      </w:pPr>
      <w:r w:rsidRPr="00790799">
        <w:t xml:space="preserve">Leseliste: Som </w:t>
      </w:r>
      <w:r>
        <w:t>til forelesning 5</w:t>
      </w:r>
    </w:p>
    <w:p w:rsidR="00916EBF" w:rsidRPr="00790799" w:rsidRDefault="00916EBF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Barneomsorg og familieforhold 2: Aleneomsorg for barn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</w:t>
      </w:r>
      <w:r w:rsidR="00B24C72">
        <w:t>2</w:t>
      </w:r>
      <w:r w:rsidR="001C6A2B" w:rsidRPr="00790799">
        <w:t>1. mars kl 10.15-12.00</w:t>
      </w:r>
    </w:p>
    <w:p w:rsidR="0019529D" w:rsidRDefault="0019529D" w:rsidP="0019529D">
      <w:pPr>
        <w:spacing w:after="0"/>
      </w:pPr>
      <w:r>
        <w:t>Sted: Aud. 13, Domus Media (i Østfløyen, inngang fra baksiden)</w:t>
      </w:r>
    </w:p>
    <w:p w:rsidR="00C60F48" w:rsidRPr="00790799" w:rsidRDefault="00C60F48" w:rsidP="00790799">
      <w:pPr>
        <w:spacing w:after="0"/>
      </w:pPr>
      <w:r w:rsidRPr="00790799">
        <w:t>Leseliste:</w:t>
      </w:r>
    </w:p>
    <w:p w:rsidR="00916EBF" w:rsidRPr="00790799" w:rsidRDefault="00916EBF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Syse</w:t>
      </w:r>
      <w:r w:rsidR="005A70C7"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 og </w:t>
      </w: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Ikdahl: 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«Regelverket for stønader til mor eller far med aleneomsorg for barn fra 1. januar 2016»,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Tidsskrift for familierett, arverett og barnevernrettslige spørsmål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2016 nr. 4 (</w:t>
      </w:r>
      <w:r w:rsidR="005A70C7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DD4C7E" w:rsidRPr="00790799" w:rsidRDefault="00DD4C7E" w:rsidP="00790799">
      <w:pPr>
        <w:spacing w:after="0"/>
      </w:pPr>
    </w:p>
    <w:p w:rsidR="00C60F48" w:rsidRPr="00790799" w:rsidRDefault="00C60F48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Alderspensjon</w:t>
      </w:r>
    </w:p>
    <w:p w:rsidR="00C60F48" w:rsidRPr="00790799" w:rsidRDefault="00C60F48" w:rsidP="00790799">
      <w:pPr>
        <w:spacing w:after="0"/>
      </w:pPr>
      <w:r w:rsidRPr="00790799">
        <w:t>Foreleser: Morten Kjelland</w:t>
      </w:r>
    </w:p>
    <w:p w:rsidR="00C60F48" w:rsidRPr="00790799" w:rsidRDefault="00C60F48" w:rsidP="00790799">
      <w:pPr>
        <w:spacing w:after="0"/>
      </w:pPr>
      <w:r w:rsidRPr="00790799">
        <w:t xml:space="preserve">Tid og sted: </w:t>
      </w:r>
      <w:r w:rsidR="001C6A2B" w:rsidRPr="00790799">
        <w:t xml:space="preserve">Onsdag </w:t>
      </w:r>
      <w:r w:rsidR="00B24C72">
        <w:t>4. april</w:t>
      </w:r>
      <w:r w:rsidR="001C6A2B" w:rsidRPr="00790799">
        <w:t xml:space="preserve"> kl 10.15-12.00</w:t>
      </w:r>
    </w:p>
    <w:p w:rsidR="0019529D" w:rsidRDefault="0019529D" w:rsidP="0019529D">
      <w:pPr>
        <w:spacing w:after="0"/>
      </w:pPr>
      <w:r>
        <w:t>Sted: Aud. 13, Domus Media (i Østfløyen, inngang fra baksiden)</w:t>
      </w:r>
    </w:p>
    <w:p w:rsidR="00A920B5" w:rsidRPr="00790799" w:rsidRDefault="00C60F48" w:rsidP="00790799">
      <w:pPr>
        <w:pStyle w:val="NormalWeb"/>
        <w:shd w:val="clear" w:color="auto" w:fill="FFFFFF"/>
        <w:spacing w:before="0" w:after="0" w:line="276" w:lineRule="auto"/>
        <w:rPr>
          <w:rFonts w:asciiTheme="minorHAnsi" w:hAnsiTheme="minorHAnsi" w:cs="Arial"/>
          <w:b/>
          <w:color w:val="2B2B2B"/>
          <w:sz w:val="22"/>
          <w:szCs w:val="22"/>
        </w:rPr>
      </w:pPr>
      <w:r w:rsidRPr="00790799">
        <w:rPr>
          <w:rFonts w:asciiTheme="minorHAnsi" w:hAnsiTheme="minorHAnsi"/>
          <w:sz w:val="22"/>
          <w:szCs w:val="22"/>
        </w:rPr>
        <w:t>Leseliste:</w:t>
      </w:r>
      <w:r w:rsidR="00A920B5" w:rsidRPr="00790799">
        <w:rPr>
          <w:rFonts w:asciiTheme="minorHAnsi" w:hAnsiTheme="minorHAnsi" w:cs="Arial"/>
          <w:b/>
          <w:color w:val="2B2B2B"/>
          <w:sz w:val="22"/>
          <w:szCs w:val="22"/>
        </w:rPr>
        <w:t xml:space="preserve"> </w:t>
      </w:r>
    </w:p>
    <w:p w:rsidR="00A920B5" w:rsidRPr="00790799" w:rsidRDefault="00A920B5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Kjønstad: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«Ny og mer komplisert alderspensjon», </w:t>
      </w:r>
      <w:r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Nordisk Socialrättslig Tidskrift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nr 7-8, 2013, s. 9-40 (</w:t>
      </w:r>
      <w:r w:rsidR="00EF3FF3" w:rsidRPr="00790799">
        <w:rPr>
          <w:rFonts w:asciiTheme="minorHAnsi" w:hAnsiTheme="minorHAnsi" w:cs="Arial"/>
          <w:bCs/>
          <w:color w:val="2B2B2B"/>
          <w:sz w:val="22"/>
          <w:szCs w:val="22"/>
        </w:rPr>
        <w:t>K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)</w:t>
      </w:r>
    </w:p>
    <w:p w:rsidR="00EF3FF3" w:rsidRPr="00790799" w:rsidRDefault="00EF3FF3" w:rsidP="00790799">
      <w:pPr>
        <w:pStyle w:val="NormalWeb"/>
        <w:numPr>
          <w:ilvl w:val="0"/>
          <w:numId w:val="11"/>
        </w:numPr>
        <w:shd w:val="clear" w:color="auto" w:fill="FFFFFF"/>
        <w:spacing w:before="0" w:after="0" w:line="276" w:lineRule="auto"/>
        <w:rPr>
          <w:rFonts w:asciiTheme="minorHAnsi" w:hAnsiTheme="minorHAnsi" w:cs="Arial"/>
          <w:b/>
          <w:bCs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 xml:space="preserve">Kjønstad: 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«Samordning av pensjoner», 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>kapittel 7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>,</w:t>
      </w:r>
      <w:r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s. 193-204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, </w:t>
      </w:r>
      <w:r w:rsidR="00237B7D" w:rsidRPr="00790799">
        <w:rPr>
          <w:rFonts w:asciiTheme="minorHAnsi" w:hAnsiTheme="minorHAnsi" w:cs="Arial"/>
          <w:bCs/>
          <w:i/>
          <w:color w:val="2B2B2B"/>
          <w:sz w:val="22"/>
          <w:szCs w:val="22"/>
        </w:rPr>
        <w:t>Innføring i trygderett,</w:t>
      </w:r>
      <w:r w:rsidR="00237B7D" w:rsidRPr="00790799">
        <w:rPr>
          <w:rFonts w:asciiTheme="minorHAnsi" w:hAnsiTheme="minorHAnsi" w:cs="Arial"/>
          <w:bCs/>
          <w:color w:val="2B2B2B"/>
          <w:sz w:val="22"/>
          <w:szCs w:val="22"/>
        </w:rPr>
        <w:t xml:space="preserve"> 2009</w:t>
      </w:r>
    </w:p>
    <w:p w:rsidR="00C60F48" w:rsidRPr="00790799" w:rsidRDefault="00C60F48" w:rsidP="00790799">
      <w:pPr>
        <w:spacing w:after="0"/>
      </w:pPr>
    </w:p>
    <w:p w:rsidR="00C60F48" w:rsidRPr="00790799" w:rsidRDefault="00C1504E" w:rsidP="00790799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790799">
        <w:rPr>
          <w:b/>
        </w:rPr>
        <w:t>Menneskerettigheter</w:t>
      </w:r>
      <w:r w:rsidR="00C60F48" w:rsidRPr="00790799">
        <w:rPr>
          <w:b/>
        </w:rPr>
        <w:t>, EØS-rett</w:t>
      </w:r>
      <w:r w:rsidRPr="00790799">
        <w:rPr>
          <w:b/>
        </w:rPr>
        <w:t>,</w:t>
      </w:r>
      <w:r w:rsidR="00C60F48" w:rsidRPr="00790799">
        <w:rPr>
          <w:b/>
        </w:rPr>
        <w:t xml:space="preserve"> og Grunnloven</w:t>
      </w:r>
      <w:r w:rsidRPr="00790799">
        <w:rPr>
          <w:b/>
        </w:rPr>
        <w:t xml:space="preserve">: </w:t>
      </w:r>
      <w:r w:rsidR="00C60F48" w:rsidRPr="00790799">
        <w:rPr>
          <w:b/>
        </w:rPr>
        <w:t>betydning for norsk trygderett. Oppsummering</w:t>
      </w:r>
    </w:p>
    <w:p w:rsidR="00C60F48" w:rsidRPr="00790799" w:rsidRDefault="00C60F48" w:rsidP="00790799">
      <w:pPr>
        <w:spacing w:after="0"/>
      </w:pPr>
      <w:r w:rsidRPr="00790799">
        <w:t>Foreleser: Ingunn Ikdahl</w:t>
      </w:r>
    </w:p>
    <w:p w:rsidR="00C60F48" w:rsidRPr="00790799" w:rsidRDefault="00C60F48" w:rsidP="00790799">
      <w:pPr>
        <w:spacing w:after="0"/>
      </w:pPr>
      <w:r w:rsidRPr="00790799">
        <w:t>Tid</w:t>
      </w:r>
      <w:r w:rsidR="001C6A2B" w:rsidRPr="00790799">
        <w:t>spunkt</w:t>
      </w:r>
      <w:r w:rsidRPr="00790799">
        <w:t xml:space="preserve">: </w:t>
      </w:r>
      <w:r w:rsidR="001C6A2B" w:rsidRPr="00790799">
        <w:t xml:space="preserve">Onsdag </w:t>
      </w:r>
      <w:r w:rsidR="00B24C72">
        <w:t>11. april</w:t>
      </w:r>
      <w:r w:rsidR="001C6A2B" w:rsidRPr="00790799">
        <w:t xml:space="preserve"> kl 10.15-12.00</w:t>
      </w:r>
    </w:p>
    <w:p w:rsidR="0019529D" w:rsidRDefault="0019529D" w:rsidP="0019529D">
      <w:pPr>
        <w:spacing w:after="0"/>
      </w:pPr>
      <w:r>
        <w:t>Sted: Aud. 13, Domus Media (i Østfløyen, inngang fra baksiden)</w:t>
      </w:r>
    </w:p>
    <w:p w:rsidR="00C60F48" w:rsidRPr="00790799" w:rsidRDefault="00C60F48" w:rsidP="00790799">
      <w:pPr>
        <w:spacing w:after="0"/>
      </w:pPr>
      <w:r w:rsidRPr="00790799">
        <w:t>Leseliste:</w:t>
      </w:r>
    </w:p>
    <w:p w:rsidR="003F6C90" w:rsidRPr="00790799" w:rsidRDefault="00EF3FF3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Ketscher</w:t>
      </w:r>
      <w:r w:rsidR="003F6C90"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: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 «Ejendomsret til sociale ydelser: Retrospektivt gensyn med Borthen og Thunheim i lyset af EMK Tp 1 art. 1 med inddragelse af Lindheim (Tomtefestesagen)», </w:t>
      </w:r>
      <w:r w:rsidR="00237B7D" w:rsidRPr="00790799">
        <w:rPr>
          <w:rFonts w:asciiTheme="minorHAnsi" w:hAnsiTheme="minorHAnsi" w:cs="Arial"/>
          <w:color w:val="2B2B2B"/>
          <w:sz w:val="22"/>
          <w:szCs w:val="22"/>
        </w:rPr>
        <w:t xml:space="preserve">i 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Ketscher, Lilleholt, Smith og Syse (red.), </w:t>
      </w:r>
      <w:r w:rsidR="003F6C90" w:rsidRPr="00790799">
        <w:rPr>
          <w:rFonts w:asciiTheme="minorHAnsi" w:hAnsiTheme="minorHAnsi" w:cs="Arial"/>
          <w:i/>
          <w:iCs/>
          <w:color w:val="2B2B2B"/>
          <w:sz w:val="22"/>
          <w:szCs w:val="22"/>
        </w:rPr>
        <w:t>Velferd og rettferd: Festskrift til Asbjørn Kjønstad 70 år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.  Gyldendal Juridisk, 2013, s. 315 – 330 (</w:t>
      </w:r>
      <w:r w:rsidR="005A70C7" w:rsidRPr="00790799">
        <w:rPr>
          <w:rFonts w:asciiTheme="minorHAnsi" w:hAnsiTheme="minorHAnsi" w:cs="Arial"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i/>
          <w:color w:val="2B2B2B"/>
          <w:sz w:val="22"/>
          <w:szCs w:val="22"/>
        </w:rPr>
        <w:t>rettsdata.no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DD4C7E" w:rsidRPr="00790799" w:rsidRDefault="00DD4C7E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Søvig: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«Minstestandarder og universalitet i norsk helse- og sosialrett, sett i lys av FNs konvensjon om økonomiske, sosiale og kulturelle rettigheter»,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Jussens Venner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2006, vol 41, s. 36-56 (tilgjengelig gjennom 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3F6C90" w:rsidRPr="00790799" w:rsidRDefault="00EF3FF3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Ikdahl</w:t>
      </w:r>
      <w:r w:rsidR="003F6C90" w:rsidRPr="00790799">
        <w:rPr>
          <w:rFonts w:asciiTheme="minorHAnsi" w:hAnsiTheme="minorHAnsi" w:cs="Arial"/>
          <w:b/>
          <w:color w:val="2B2B2B"/>
          <w:sz w:val="22"/>
          <w:szCs w:val="22"/>
        </w:rPr>
        <w:t>: «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De grensekryssende familier: Familieytelser og EØS» i Biørn Bogstad (red.), </w:t>
      </w:r>
      <w:r w:rsidR="003F6C90" w:rsidRPr="00790799">
        <w:rPr>
          <w:rFonts w:asciiTheme="minorHAnsi" w:hAnsiTheme="minorHAnsi" w:cs="Arial"/>
          <w:i/>
          <w:color w:val="2B2B2B"/>
          <w:sz w:val="22"/>
          <w:szCs w:val="22"/>
        </w:rPr>
        <w:t>Trygd og pensjon i EØS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, Gyldendal Juridisk, 2015, kap. 6, s. </w:t>
      </w:r>
      <w:r w:rsidR="00737CAD" w:rsidRPr="00790799">
        <w:rPr>
          <w:rFonts w:asciiTheme="minorHAnsi" w:hAnsiTheme="minorHAnsi" w:cs="Arial"/>
          <w:color w:val="2B2B2B"/>
          <w:sz w:val="22"/>
          <w:szCs w:val="22"/>
        </w:rPr>
        <w:t>108-127</w:t>
      </w:r>
      <w:r w:rsidR="003F6C90" w:rsidRPr="00790799">
        <w:rPr>
          <w:rFonts w:asciiTheme="minorHAnsi" w:hAnsiTheme="minorHAnsi" w:cs="Arial"/>
          <w:color w:val="2B2B2B"/>
          <w:sz w:val="22"/>
          <w:szCs w:val="22"/>
        </w:rPr>
        <w:t xml:space="preserve"> (K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916EBF" w:rsidRPr="00790799" w:rsidRDefault="00916EBF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</w:rPr>
      </w:pP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Kjønstad</w:t>
      </w:r>
      <w:r w:rsidR="005A70C7" w:rsidRPr="00790799">
        <w:rPr>
          <w:rFonts w:asciiTheme="minorHAnsi" w:hAnsiTheme="minorHAnsi" w:cs="Arial"/>
          <w:b/>
          <w:color w:val="2B2B2B"/>
          <w:sz w:val="22"/>
          <w:szCs w:val="22"/>
        </w:rPr>
        <w:t xml:space="preserve"> og </w:t>
      </w:r>
      <w:r w:rsidRPr="00790799">
        <w:rPr>
          <w:rFonts w:asciiTheme="minorHAnsi" w:hAnsiTheme="minorHAnsi" w:cs="Arial"/>
          <w:b/>
          <w:color w:val="2B2B2B"/>
          <w:sz w:val="22"/>
          <w:szCs w:val="22"/>
        </w:rPr>
        <w:t>Syse</w:t>
      </w:r>
      <w:r w:rsidR="005A70C7" w:rsidRPr="00790799">
        <w:rPr>
          <w:rFonts w:asciiTheme="minorHAnsi" w:hAnsiTheme="minorHAnsi" w:cs="Arial"/>
          <w:b/>
          <w:color w:val="2B2B2B"/>
          <w:sz w:val="22"/>
          <w:szCs w:val="22"/>
        </w:rPr>
        <w:t>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«Grunnlovsreformen og velferdsretten», Jussens Venner 2014, Vol.49 (05), s. 340-357 (</w:t>
      </w:r>
      <w:r w:rsidR="005A70C7" w:rsidRPr="00790799">
        <w:rPr>
          <w:rFonts w:asciiTheme="minorHAnsi" w:hAnsiTheme="minorHAnsi" w:cs="Arial"/>
          <w:color w:val="2B2B2B"/>
          <w:sz w:val="22"/>
          <w:szCs w:val="22"/>
        </w:rPr>
        <w:t xml:space="preserve">tilgjengelig gjennom </w:t>
      </w:r>
      <w:r w:rsidR="005A70C7" w:rsidRPr="00790799">
        <w:rPr>
          <w:rFonts w:asciiTheme="minorHAnsi" w:hAnsiTheme="minorHAnsi" w:cs="Arial"/>
          <w:i/>
          <w:color w:val="2B2B2B"/>
          <w:sz w:val="22"/>
          <w:szCs w:val="22"/>
        </w:rPr>
        <w:t>idunn.no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)</w:t>
      </w:r>
    </w:p>
    <w:p w:rsidR="00DD4C7E" w:rsidRPr="00790799" w:rsidRDefault="00DD4C7E" w:rsidP="00790799">
      <w:pPr>
        <w:pStyle w:val="NormalWeb"/>
        <w:numPr>
          <w:ilvl w:val="0"/>
          <w:numId w:val="10"/>
        </w:numPr>
        <w:shd w:val="clear" w:color="auto" w:fill="FFFFFF"/>
        <w:spacing w:before="0" w:after="0" w:line="276" w:lineRule="auto"/>
        <w:rPr>
          <w:rFonts w:asciiTheme="minorHAnsi" w:hAnsiTheme="minorHAnsi" w:cs="Arial"/>
          <w:color w:val="2B2B2B"/>
          <w:sz w:val="22"/>
          <w:szCs w:val="22"/>
          <w:lang w:val="nn-NO"/>
        </w:rPr>
      </w:pPr>
      <w:r w:rsidRPr="00790799">
        <w:rPr>
          <w:rFonts w:asciiTheme="minorHAnsi" w:hAnsiTheme="minorHAnsi" w:cs="Arial"/>
          <w:b/>
          <w:bCs/>
          <w:color w:val="2B2B2B"/>
          <w:sz w:val="22"/>
          <w:szCs w:val="22"/>
        </w:rPr>
        <w:t>Kjønstad: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 xml:space="preserve"> «Folketrygdens særpreg og plass 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 xml:space="preserve">i samfunnet», 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kapittel 9</w:t>
      </w:r>
      <w:r w:rsidRPr="00790799">
        <w:rPr>
          <w:rFonts w:asciiTheme="minorHAnsi" w:hAnsiTheme="minorHAnsi" w:cs="Arial"/>
          <w:color w:val="2B2B2B"/>
          <w:sz w:val="22"/>
          <w:szCs w:val="22"/>
          <w:lang w:val="nn-NO"/>
        </w:rPr>
        <w:t>, s. 248-258 (om grunnlovsvern),</w:t>
      </w:r>
      <w:r w:rsidRPr="00790799">
        <w:rPr>
          <w:rFonts w:asciiTheme="minorHAnsi" w:hAnsiTheme="minorHAnsi" w:cs="Arial"/>
          <w:i/>
          <w:color w:val="2B2B2B"/>
          <w:sz w:val="22"/>
          <w:szCs w:val="22"/>
        </w:rPr>
        <w:t xml:space="preserve"> Innføring i trygderett</w:t>
      </w:r>
      <w:r w:rsidRPr="00790799">
        <w:rPr>
          <w:rFonts w:asciiTheme="minorHAnsi" w:hAnsiTheme="minorHAnsi" w:cs="Arial"/>
          <w:color w:val="2B2B2B"/>
          <w:sz w:val="22"/>
          <w:szCs w:val="22"/>
        </w:rPr>
        <w:t>, Universitetsforlaget, 2009</w:t>
      </w:r>
    </w:p>
    <w:p w:rsidR="00C60F48" w:rsidRPr="00790799" w:rsidRDefault="00C60F48" w:rsidP="00790799">
      <w:pPr>
        <w:spacing w:after="0"/>
      </w:pPr>
    </w:p>
    <w:p w:rsidR="00237B7D" w:rsidRPr="00737CAD" w:rsidRDefault="00386686" w:rsidP="00A600CD">
      <w:pPr>
        <w:pStyle w:val="Heading2"/>
      </w:pPr>
      <w:r>
        <w:t>Om litteraturen</w:t>
      </w:r>
      <w:r w:rsidR="00237B7D" w:rsidRPr="00737CAD">
        <w:t>:</w:t>
      </w:r>
    </w:p>
    <w:p w:rsidR="0076462C" w:rsidRPr="00790799" w:rsidRDefault="00E03292" w:rsidP="00790799">
      <w:pPr>
        <w:spacing w:before="240"/>
        <w:rPr>
          <w:b/>
        </w:rPr>
      </w:pPr>
      <w:r w:rsidRPr="00790799">
        <w:rPr>
          <w:b/>
        </w:rPr>
        <w:t xml:space="preserve">Hovedlitteratur </w:t>
      </w:r>
    </w:p>
    <w:p w:rsidR="00EF3FF3" w:rsidRPr="00790799" w:rsidRDefault="0076462C" w:rsidP="00790799">
      <w:pPr>
        <w:spacing w:before="240"/>
        <w:rPr>
          <w:rFonts w:cs="Arial"/>
          <w:b/>
          <w:color w:val="2B2B2B"/>
        </w:rPr>
      </w:pPr>
      <w:r w:rsidRPr="00790799">
        <w:t xml:space="preserve">Store deler av </w:t>
      </w:r>
      <w:r w:rsidR="00EF3FF3" w:rsidRPr="00790799">
        <w:rPr>
          <w:b/>
        </w:rPr>
        <w:t>Asbjørn</w:t>
      </w:r>
      <w:r w:rsidR="00EF3FF3" w:rsidRPr="00790799">
        <w:t xml:space="preserve"> </w:t>
      </w:r>
      <w:r w:rsidR="00232B89" w:rsidRPr="00790799">
        <w:rPr>
          <w:rFonts w:cs="Arial"/>
          <w:b/>
          <w:bCs/>
          <w:color w:val="2B2B2B"/>
        </w:rPr>
        <w:t>Kjønstad</w:t>
      </w:r>
      <w:r w:rsidRPr="00790799">
        <w:rPr>
          <w:rFonts w:cs="Arial"/>
          <w:b/>
          <w:bCs/>
          <w:color w:val="2B2B2B"/>
        </w:rPr>
        <w:t xml:space="preserve">s </w:t>
      </w:r>
      <w:r w:rsidRPr="00790799">
        <w:rPr>
          <w:rFonts w:cs="Arial"/>
          <w:bCs/>
          <w:color w:val="2B2B2B"/>
        </w:rPr>
        <w:t>bok</w:t>
      </w:r>
      <w:r w:rsidR="00232B89" w:rsidRPr="00790799">
        <w:rPr>
          <w:rFonts w:cs="Arial"/>
          <w:color w:val="2B2B2B"/>
        </w:rPr>
        <w:t xml:space="preserve"> </w:t>
      </w:r>
      <w:r w:rsidR="00232B89" w:rsidRPr="00790799">
        <w:rPr>
          <w:rFonts w:cs="Arial"/>
          <w:i/>
          <w:color w:val="2B2B2B"/>
        </w:rPr>
        <w:t>Innføring i trygderett</w:t>
      </w:r>
      <w:r w:rsidR="00232B89" w:rsidRPr="00790799">
        <w:rPr>
          <w:rFonts w:cs="Arial"/>
          <w:color w:val="2B2B2B"/>
        </w:rPr>
        <w:t xml:space="preserve"> </w:t>
      </w:r>
      <w:r w:rsidRPr="00790799">
        <w:rPr>
          <w:rFonts w:cs="Arial"/>
          <w:color w:val="2B2B2B"/>
        </w:rPr>
        <w:t>(</w:t>
      </w:r>
      <w:r w:rsidR="00232B89" w:rsidRPr="00790799">
        <w:rPr>
          <w:rFonts w:cs="Arial"/>
          <w:color w:val="2B2B2B"/>
        </w:rPr>
        <w:t>Uni</w:t>
      </w:r>
      <w:r w:rsidR="00EF3FF3" w:rsidRPr="00790799">
        <w:rPr>
          <w:rFonts w:cs="Arial"/>
          <w:color w:val="2B2B2B"/>
        </w:rPr>
        <w:t>versitetsforlaget, 2009</w:t>
      </w:r>
      <w:r w:rsidRPr="00790799">
        <w:rPr>
          <w:rFonts w:cs="Arial"/>
          <w:color w:val="2B2B2B"/>
        </w:rPr>
        <w:t>,</w:t>
      </w:r>
      <w:r w:rsidR="00EF3FF3" w:rsidRPr="00790799">
        <w:rPr>
          <w:rFonts w:cs="Arial"/>
          <w:color w:val="2B2B2B"/>
        </w:rPr>
        <w:t xml:space="preserve"> 4.utg</w:t>
      </w:r>
      <w:r w:rsidRPr="00790799">
        <w:rPr>
          <w:rFonts w:cs="Arial"/>
          <w:color w:val="2B2B2B"/>
        </w:rPr>
        <w:t>.</w:t>
      </w:r>
      <w:r w:rsidR="00EF3FF3" w:rsidRPr="00790799">
        <w:rPr>
          <w:rFonts w:cs="Arial"/>
          <w:color w:val="2B2B2B"/>
        </w:rPr>
        <w:t>)</w:t>
      </w:r>
      <w:r w:rsidRPr="00790799">
        <w:rPr>
          <w:rFonts w:cs="Arial"/>
          <w:color w:val="2B2B2B"/>
        </w:rPr>
        <w:t xml:space="preserve"> er pensum, så </w:t>
      </w:r>
      <w:r w:rsidR="00386686" w:rsidRPr="00790799">
        <w:rPr>
          <w:rFonts w:cs="Arial"/>
          <w:color w:val="2B2B2B"/>
        </w:rPr>
        <w:t xml:space="preserve">studentene </w:t>
      </w:r>
      <w:r w:rsidRPr="00790799">
        <w:rPr>
          <w:rFonts w:cs="Arial"/>
          <w:color w:val="2B2B2B"/>
        </w:rPr>
        <w:t>anbefales å kjøpe denne.</w:t>
      </w:r>
    </w:p>
    <w:p w:rsidR="0076462C" w:rsidRPr="00790799" w:rsidRDefault="0076462C" w:rsidP="00790799">
      <w:pPr>
        <w:spacing w:before="240"/>
      </w:pPr>
      <w:r w:rsidRPr="00790799">
        <w:t xml:space="preserve">En del artikler er </w:t>
      </w:r>
      <w:r w:rsidR="00FD018A" w:rsidRPr="00790799">
        <w:t>tilgjengelig elektronisk</w:t>
      </w:r>
      <w:r w:rsidR="00710B48" w:rsidRPr="00790799">
        <w:t xml:space="preserve">, </w:t>
      </w:r>
      <w:r w:rsidRPr="00790799">
        <w:t xml:space="preserve">enten gjennom </w:t>
      </w:r>
      <w:r w:rsidRPr="00790799">
        <w:rPr>
          <w:i/>
        </w:rPr>
        <w:t xml:space="preserve">www.rettsdata.no </w:t>
      </w:r>
      <w:r w:rsidRPr="00790799">
        <w:t xml:space="preserve"> eller </w:t>
      </w:r>
      <w:r w:rsidRPr="00790799">
        <w:rPr>
          <w:i/>
        </w:rPr>
        <w:t>www.idunn.</w:t>
      </w:r>
      <w:r w:rsidRPr="00790799">
        <w:t xml:space="preserve">no. For full tilgang her må du enten ha eget abonnement, eller være logget på gjennom universitets internett. Dette kan du også gjøre hjemmefra, se mer informasjon her: </w:t>
      </w:r>
      <w:hyperlink r:id="rId7" w:history="1">
        <w:r w:rsidRPr="00790799">
          <w:rPr>
            <w:rStyle w:val="Hyperlink"/>
          </w:rPr>
          <w:t>http://www.ub.uio.no/bruk/ub-tilgang-hjemmefra.html</w:t>
        </w:r>
      </w:hyperlink>
    </w:p>
    <w:p w:rsidR="00FD018A" w:rsidRPr="00790799" w:rsidRDefault="0076462C" w:rsidP="00790799">
      <w:pPr>
        <w:spacing w:before="240"/>
        <w:rPr>
          <w:rFonts w:cs="Arial"/>
          <w:b/>
          <w:color w:val="2B2B2B"/>
        </w:rPr>
      </w:pPr>
      <w:r w:rsidRPr="00790799">
        <w:t xml:space="preserve">De øvrige artiklene </w:t>
      </w:r>
      <w:r w:rsidR="00710B48" w:rsidRPr="00790799">
        <w:t xml:space="preserve">er trykket </w:t>
      </w:r>
      <w:r w:rsidR="00FD018A" w:rsidRPr="00790799">
        <w:t xml:space="preserve">i </w:t>
      </w:r>
      <w:r w:rsidR="00710B48" w:rsidRPr="00790799">
        <w:t>et eget k</w:t>
      </w:r>
      <w:r w:rsidR="00FD018A" w:rsidRPr="00790799">
        <w:t>ompendium i trygderett</w:t>
      </w:r>
      <w:r w:rsidR="00B122F2" w:rsidRPr="00790799">
        <w:t xml:space="preserve">, som </w:t>
      </w:r>
      <w:r w:rsidR="00710B48" w:rsidRPr="00790799">
        <w:t>kan kjøpes i Akademika. Disse er merket (K)</w:t>
      </w:r>
      <w:r w:rsidR="00B122F2" w:rsidRPr="00790799">
        <w:t>.</w:t>
      </w:r>
    </w:p>
    <w:p w:rsidR="00A600CD" w:rsidRPr="00790799" w:rsidRDefault="00A600CD" w:rsidP="00790799">
      <w:pPr>
        <w:spacing w:before="240"/>
        <w:rPr>
          <w:rFonts w:cs="Arial"/>
          <w:b/>
          <w:color w:val="2B2B2B"/>
        </w:rPr>
      </w:pPr>
      <w:r w:rsidRPr="00790799">
        <w:t>Litteratur merket (*) er kun pensum på masternivå (JUS5960).</w:t>
      </w:r>
      <w:r w:rsidR="00B122F2" w:rsidRPr="00790799">
        <w:t xml:space="preserve"> Men kan selvsagt leses av alle!</w:t>
      </w:r>
    </w:p>
    <w:p w:rsidR="00183C0F" w:rsidRPr="00790799" w:rsidRDefault="00386686" w:rsidP="00790799">
      <w:pPr>
        <w:spacing w:before="240"/>
        <w:rPr>
          <w:b/>
        </w:rPr>
      </w:pPr>
      <w:r w:rsidRPr="00790799">
        <w:rPr>
          <w:b/>
        </w:rPr>
        <w:t>Tilleggslitteratur</w:t>
      </w:r>
    </w:p>
    <w:p w:rsidR="00183C0F" w:rsidRPr="00790799" w:rsidRDefault="00E03292" w:rsidP="00790799">
      <w:pPr>
        <w:spacing w:before="240"/>
      </w:pPr>
      <w:r w:rsidRPr="00790799">
        <w:t>For bachelorstudentene kan både Narvland</w:t>
      </w:r>
      <w:r w:rsidR="00183C0F" w:rsidRPr="00790799">
        <w:t>s «Trygderett i et nøtteskall», Gyldendal</w:t>
      </w:r>
      <w:r w:rsidRPr="00790799">
        <w:t xml:space="preserve"> 2015 og Kjønstad/Syse</w:t>
      </w:r>
      <w:r w:rsidR="00B24C72">
        <w:t>/Kjelland</w:t>
      </w:r>
      <w:r w:rsidRPr="00790799">
        <w:t xml:space="preserve"> </w:t>
      </w:r>
      <w:r w:rsidR="00183C0F" w:rsidRPr="00790799">
        <w:t xml:space="preserve">«Velferdsrett 1», Gyldendal </w:t>
      </w:r>
      <w:r w:rsidRPr="00790799">
        <w:t>201</w:t>
      </w:r>
      <w:r w:rsidR="00B24C72">
        <w:t>7</w:t>
      </w:r>
      <w:r w:rsidR="00183C0F" w:rsidRPr="00790799">
        <w:t>,</w:t>
      </w:r>
      <w:r w:rsidRPr="00790799">
        <w:t xml:space="preserve"> være nyttige som introduksjon til de ulike ytelsene. Studenter som tar emnet på masternivå vil ha med seg en del juridiske kunnskaper fra velferdsrettsfaget tidligere i studiet, men kan ha glede av disse som repetisjon </w:t>
      </w:r>
      <w:r w:rsidR="00183C0F" w:rsidRPr="00790799">
        <w:t xml:space="preserve">– </w:t>
      </w:r>
      <w:r w:rsidRPr="00790799">
        <w:t>kanskje</w:t>
      </w:r>
      <w:r w:rsidR="00183C0F" w:rsidRPr="00790799">
        <w:t xml:space="preserve"> </w:t>
      </w:r>
      <w:r w:rsidRPr="00790799">
        <w:t>særlig if</w:t>
      </w:r>
      <w:r w:rsidR="0039213A" w:rsidRPr="00790799">
        <w:t>m</w:t>
      </w:r>
      <w:r w:rsidRPr="00790799">
        <w:t xml:space="preserve"> uførepensjon og alderspensjon etter gammel ordning. </w:t>
      </w:r>
    </w:p>
    <w:p w:rsidR="00183C0F" w:rsidRPr="00790799" w:rsidRDefault="00183C0F" w:rsidP="00790799">
      <w:pPr>
        <w:spacing w:before="240"/>
        <w:rPr>
          <w:rFonts w:cs="Arial"/>
          <w:color w:val="2B2B2B"/>
        </w:rPr>
      </w:pPr>
      <w:r w:rsidRPr="00790799">
        <w:rPr>
          <w:rFonts w:cs="Arial"/>
          <w:color w:val="2B2B2B"/>
        </w:rPr>
        <w:t>Boken redigert av Bay, Hatland, Hellevik og Koren, «</w:t>
      </w:r>
      <w:r w:rsidRPr="00790799">
        <w:rPr>
          <w:rFonts w:cs="Arial"/>
          <w:i/>
          <w:color w:val="2B2B2B"/>
        </w:rPr>
        <w:t>De norske trygdene. Framvekst, forvaltning og fordeling</w:t>
      </w:r>
      <w:r w:rsidRPr="00790799">
        <w:rPr>
          <w:rFonts w:cs="Arial"/>
          <w:color w:val="2B2B2B"/>
        </w:rPr>
        <w:t>», Gyldendal 2010 (2. utg.), plasserer både folketrygden generelt og de enkelte ytelsene i en historisk og samfunnsmessig kontekst. Denne kan gjøre det enklere å forstå formål og virkninger med de ulike reglene.</w:t>
      </w:r>
    </w:p>
    <w:p w:rsidR="00183C0F" w:rsidRPr="00790799" w:rsidRDefault="00183C0F" w:rsidP="00790799">
      <w:pPr>
        <w:spacing w:before="240"/>
      </w:pPr>
      <w:r w:rsidRPr="00790799">
        <w:rPr>
          <w:rFonts w:cs="Arial"/>
          <w:color w:val="2B2B2B"/>
        </w:rPr>
        <w:t>Dersom du har lyst til å se nærmere på enkelte av temaene som behandles i faget, er det henvist til en rekke relevante artikler og bokkapitler i listen over tilleggslitteratur. Faglærerne gir gjerne ytterlige tips!</w:t>
      </w:r>
    </w:p>
    <w:sectPr w:rsidR="00183C0F" w:rsidRPr="0079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B3C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A27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7A1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F6056"/>
    <w:multiLevelType w:val="hybridMultilevel"/>
    <w:tmpl w:val="C9C2D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54B8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CE7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51058"/>
    <w:multiLevelType w:val="hybridMultilevel"/>
    <w:tmpl w:val="CC5C76D4"/>
    <w:lvl w:ilvl="0" w:tplc="E55A713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5CB"/>
    <w:multiLevelType w:val="hybridMultilevel"/>
    <w:tmpl w:val="B3FEBE64"/>
    <w:lvl w:ilvl="0" w:tplc="3078B718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3DF1"/>
    <w:multiLevelType w:val="hybridMultilevel"/>
    <w:tmpl w:val="59AEC3BE"/>
    <w:lvl w:ilvl="0" w:tplc="DDCC693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nb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1FE5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FF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13F2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45F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030F8"/>
    <w:multiLevelType w:val="hybridMultilevel"/>
    <w:tmpl w:val="98CA18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7"/>
    <w:rsid w:val="00025866"/>
    <w:rsid w:val="00124053"/>
    <w:rsid w:val="00130D00"/>
    <w:rsid w:val="0016444F"/>
    <w:rsid w:val="00166E6C"/>
    <w:rsid w:val="00170BDD"/>
    <w:rsid w:val="00183C0F"/>
    <w:rsid w:val="0019529D"/>
    <w:rsid w:val="001C3507"/>
    <w:rsid w:val="001C5122"/>
    <w:rsid w:val="001C5F53"/>
    <w:rsid w:val="001C6A2B"/>
    <w:rsid w:val="00232B89"/>
    <w:rsid w:val="00237B7D"/>
    <w:rsid w:val="00295349"/>
    <w:rsid w:val="002A3A90"/>
    <w:rsid w:val="002C4982"/>
    <w:rsid w:val="003127E6"/>
    <w:rsid w:val="003134B1"/>
    <w:rsid w:val="00386686"/>
    <w:rsid w:val="0039177E"/>
    <w:rsid w:val="0039213A"/>
    <w:rsid w:val="003F6C90"/>
    <w:rsid w:val="00407FAF"/>
    <w:rsid w:val="00414340"/>
    <w:rsid w:val="00457500"/>
    <w:rsid w:val="0046554B"/>
    <w:rsid w:val="004E07E7"/>
    <w:rsid w:val="005107A6"/>
    <w:rsid w:val="005A70C7"/>
    <w:rsid w:val="00613210"/>
    <w:rsid w:val="00666BC2"/>
    <w:rsid w:val="006B024B"/>
    <w:rsid w:val="006C07D3"/>
    <w:rsid w:val="006F7907"/>
    <w:rsid w:val="00710B48"/>
    <w:rsid w:val="007364EF"/>
    <w:rsid w:val="00737CAD"/>
    <w:rsid w:val="0076462C"/>
    <w:rsid w:val="00790799"/>
    <w:rsid w:val="007A01DE"/>
    <w:rsid w:val="008430B9"/>
    <w:rsid w:val="00857E05"/>
    <w:rsid w:val="00916EBF"/>
    <w:rsid w:val="009335A9"/>
    <w:rsid w:val="00A100C7"/>
    <w:rsid w:val="00A600CD"/>
    <w:rsid w:val="00A920B5"/>
    <w:rsid w:val="00AC0B4B"/>
    <w:rsid w:val="00AF036B"/>
    <w:rsid w:val="00AF4AD1"/>
    <w:rsid w:val="00B122F2"/>
    <w:rsid w:val="00B24C72"/>
    <w:rsid w:val="00BF55B3"/>
    <w:rsid w:val="00C1504E"/>
    <w:rsid w:val="00C40A65"/>
    <w:rsid w:val="00C60F48"/>
    <w:rsid w:val="00C76377"/>
    <w:rsid w:val="00CC6835"/>
    <w:rsid w:val="00D542A5"/>
    <w:rsid w:val="00DD4C7E"/>
    <w:rsid w:val="00DF3085"/>
    <w:rsid w:val="00E03292"/>
    <w:rsid w:val="00E12341"/>
    <w:rsid w:val="00EF3FF3"/>
    <w:rsid w:val="00F64421"/>
    <w:rsid w:val="00FD018A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AB14-25F6-4392-8BEF-D269625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7"/>
  </w:style>
  <w:style w:type="paragraph" w:styleId="Heading1">
    <w:name w:val="heading 1"/>
    <w:basedOn w:val="Normal"/>
    <w:next w:val="Normal"/>
    <w:link w:val="Heading1Char"/>
    <w:uiPriority w:val="9"/>
    <w:qFormat/>
    <w:rsid w:val="006F7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6C90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2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24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  <w:divsChild>
                    <w:div w:id="4016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0" w:color="CCCCCC"/>
                  </w:divBdr>
                  <w:divsChild>
                    <w:div w:id="958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.uio.no/bruk/ub-tilgang-hjemmef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onter.com/uio/" TargetMode="External"/><Relationship Id="rId5" Type="http://schemas.openxmlformats.org/officeDocument/2006/relationships/hyperlink" Target="http://www.uio.no/studier/emner/jus/jus/JUS5960/v18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1374</Words>
  <Characters>7288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Ingunn Ikdahl</dc:creator>
  <cp:lastModifiedBy>Anne-Brit Strandset</cp:lastModifiedBy>
  <cp:revision>2</cp:revision>
  <dcterms:created xsi:type="dcterms:W3CDTF">2018-02-27T07:54:00Z</dcterms:created>
  <dcterms:modified xsi:type="dcterms:W3CDTF">2018-02-27T07:54:00Z</dcterms:modified>
</cp:coreProperties>
</file>