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277E" w14:textId="12798D82" w:rsidR="00793BCC" w:rsidRDefault="00D83307" w:rsidP="00825D61">
      <w:pPr>
        <w:rPr>
          <w:rFonts w:ascii="Times New Roman" w:hAnsi="Times New Roman" w:cs="Times New Roman"/>
          <w:b/>
          <w:sz w:val="44"/>
          <w:szCs w:val="44"/>
        </w:rPr>
      </w:pPr>
      <w:r w:rsidRPr="00793BCC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nb-NO"/>
        </w:rPr>
        <w:t>Forslag til eksamensoppgaver</w:t>
      </w:r>
      <w:r w:rsidRPr="00793BCC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nb-NO"/>
        </w:rPr>
        <w:t xml:space="preserve"> </w:t>
      </w:r>
      <w:r w:rsidR="00793BCC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nb-NO"/>
        </w:rPr>
        <w:t>–</w:t>
      </w:r>
      <w:r w:rsidRPr="00793BC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3EF47DF" w14:textId="1EABB987" w:rsidR="00825D61" w:rsidRPr="00793BCC" w:rsidRDefault="00FB30AA" w:rsidP="00825D61">
      <w:pPr>
        <w:rPr>
          <w:rFonts w:ascii="Times New Roman" w:hAnsi="Times New Roman" w:cs="Times New Roman"/>
          <w:b/>
          <w:sz w:val="44"/>
          <w:szCs w:val="44"/>
        </w:rPr>
      </w:pPr>
      <w:r w:rsidRPr="00793BCC">
        <w:rPr>
          <w:rFonts w:ascii="Times New Roman" w:hAnsi="Times New Roman" w:cs="Times New Roman"/>
          <w:b/>
          <w:sz w:val="44"/>
          <w:szCs w:val="44"/>
        </w:rPr>
        <w:t xml:space="preserve">Eksamen </w:t>
      </w:r>
      <w:r w:rsidR="00B01793" w:rsidRPr="00793BCC">
        <w:rPr>
          <w:rFonts w:ascii="Times New Roman" w:hAnsi="Times New Roman" w:cs="Times New Roman"/>
          <w:b/>
          <w:sz w:val="44"/>
          <w:szCs w:val="44"/>
        </w:rPr>
        <w:t>SPED 30</w:t>
      </w:r>
      <w:r w:rsidR="00825D61" w:rsidRPr="00793BCC">
        <w:rPr>
          <w:rFonts w:ascii="Times New Roman" w:hAnsi="Times New Roman" w:cs="Times New Roman"/>
          <w:b/>
          <w:sz w:val="44"/>
          <w:szCs w:val="44"/>
        </w:rPr>
        <w:t>00</w:t>
      </w:r>
    </w:p>
    <w:p w14:paraId="65F9B240" w14:textId="6B92A83D" w:rsidR="005B7320" w:rsidRPr="00D83307" w:rsidRDefault="005B7320" w:rsidP="00825D61"/>
    <w:p w14:paraId="7FB8E469" w14:textId="41108B3B" w:rsidR="005B7320" w:rsidRPr="00D83307" w:rsidRDefault="005B7320" w:rsidP="00825D61">
      <w:pPr>
        <w:rPr>
          <w:b/>
          <w:sz w:val="44"/>
          <w:szCs w:val="44"/>
        </w:rPr>
      </w:pPr>
      <w:r w:rsidRPr="00D83307">
        <w:rPr>
          <w:b/>
          <w:sz w:val="44"/>
          <w:szCs w:val="44"/>
        </w:rPr>
        <w:t>Vår 2019</w:t>
      </w:r>
    </w:p>
    <w:p w14:paraId="1C14221D" w14:textId="5E17A171" w:rsidR="005B7320" w:rsidRPr="00D83307" w:rsidRDefault="00D0421A" w:rsidP="00825D61">
      <w:pPr>
        <w:rPr>
          <w:sz w:val="44"/>
          <w:szCs w:val="44"/>
        </w:rPr>
      </w:pPr>
      <w:r w:rsidRPr="00D83307">
        <w:rPr>
          <w:sz w:val="44"/>
          <w:szCs w:val="44"/>
        </w:rPr>
        <w:t>Ordinær eksamen</w:t>
      </w:r>
    </w:p>
    <w:p w14:paraId="6505FA30" w14:textId="77777777" w:rsidR="00D83307" w:rsidRPr="00793BCC" w:rsidRDefault="00D83307" w:rsidP="00825D61">
      <w:pPr>
        <w:rPr>
          <w:rFonts w:ascii="Times New Roman" w:hAnsi="Times New Roman" w:cs="Times New Roman"/>
          <w:sz w:val="28"/>
          <w:szCs w:val="28"/>
        </w:rPr>
      </w:pPr>
      <w:r w:rsidRPr="00793BCC">
        <w:rPr>
          <w:rFonts w:ascii="Times New Roman" w:hAnsi="Times New Roman" w:cs="Times New Roman"/>
          <w:sz w:val="28"/>
          <w:szCs w:val="28"/>
        </w:rPr>
        <w:t>Besvar ett (1) av spørsmålene i del 1: Psykososiale vansker og personlighetsu</w:t>
      </w:r>
      <w:r w:rsidRPr="00793BCC">
        <w:rPr>
          <w:rFonts w:ascii="Times New Roman" w:hAnsi="Times New Roman" w:cs="Times New Roman"/>
          <w:sz w:val="28"/>
          <w:szCs w:val="28"/>
        </w:rPr>
        <w:t xml:space="preserve">tvikling </w:t>
      </w:r>
    </w:p>
    <w:p w14:paraId="64A5EE03" w14:textId="77777777" w:rsidR="00D83307" w:rsidRPr="00793BCC" w:rsidRDefault="00D83307" w:rsidP="00825D61">
      <w:pPr>
        <w:rPr>
          <w:rFonts w:ascii="Times New Roman" w:hAnsi="Times New Roman" w:cs="Times New Roman"/>
          <w:sz w:val="28"/>
          <w:szCs w:val="28"/>
        </w:rPr>
      </w:pPr>
      <w:r w:rsidRPr="00793BCC">
        <w:rPr>
          <w:rFonts w:ascii="Times New Roman" w:hAnsi="Times New Roman" w:cs="Times New Roman"/>
          <w:sz w:val="28"/>
          <w:szCs w:val="28"/>
        </w:rPr>
        <w:t xml:space="preserve">OG </w:t>
      </w:r>
    </w:p>
    <w:p w14:paraId="4B995A32" w14:textId="66D8F3CA" w:rsidR="00D0421A" w:rsidRPr="00793BCC" w:rsidRDefault="00D83307" w:rsidP="00825D61">
      <w:pPr>
        <w:rPr>
          <w:rFonts w:ascii="Times New Roman" w:hAnsi="Times New Roman" w:cs="Times New Roman"/>
          <w:sz w:val="28"/>
          <w:szCs w:val="28"/>
        </w:rPr>
      </w:pPr>
      <w:r w:rsidRPr="00793BCC">
        <w:rPr>
          <w:rFonts w:ascii="Times New Roman" w:hAnsi="Times New Roman" w:cs="Times New Roman"/>
          <w:sz w:val="28"/>
          <w:szCs w:val="28"/>
        </w:rPr>
        <w:t>Ett (1)</w:t>
      </w:r>
      <w:r w:rsidRPr="00793BCC">
        <w:rPr>
          <w:rFonts w:ascii="Times New Roman" w:hAnsi="Times New Roman" w:cs="Times New Roman"/>
          <w:sz w:val="28"/>
          <w:szCs w:val="28"/>
        </w:rPr>
        <w:t xml:space="preserve"> </w:t>
      </w:r>
      <w:r w:rsidRPr="00793BCC">
        <w:rPr>
          <w:rFonts w:ascii="Times New Roman" w:hAnsi="Times New Roman" w:cs="Times New Roman"/>
          <w:sz w:val="28"/>
          <w:szCs w:val="28"/>
        </w:rPr>
        <w:t>av spørsmålene fra del 2: Minoritets og migrasjonsrelaterte lærevansker</w:t>
      </w:r>
    </w:p>
    <w:p w14:paraId="3847F06C" w14:textId="77777777" w:rsidR="00D83307" w:rsidRDefault="00D83307" w:rsidP="00825D61">
      <w:pPr>
        <w:rPr>
          <w:sz w:val="28"/>
          <w:szCs w:val="28"/>
        </w:rPr>
      </w:pPr>
    </w:p>
    <w:p w14:paraId="7A9FA143" w14:textId="4B830CE0" w:rsidR="00D83307" w:rsidRPr="00D83307" w:rsidRDefault="00D83307" w:rsidP="00D83307">
      <w:pPr>
        <w:rPr>
          <w:sz w:val="40"/>
          <w:szCs w:val="40"/>
        </w:rPr>
      </w:pPr>
      <w:r w:rsidRPr="00D83307">
        <w:rPr>
          <w:rFonts w:ascii="Times New Roman" w:hAnsi="Times New Roman" w:cs="Times New Roman"/>
          <w:sz w:val="40"/>
          <w:szCs w:val="40"/>
        </w:rPr>
        <w:t>D</w:t>
      </w:r>
      <w:r w:rsidRPr="00D83307">
        <w:rPr>
          <w:rFonts w:ascii="Times New Roman" w:hAnsi="Times New Roman" w:cs="Times New Roman"/>
          <w:sz w:val="40"/>
          <w:szCs w:val="40"/>
        </w:rPr>
        <w:t>el 1: Psykososiale vansker og personlighetsutvikling</w:t>
      </w:r>
      <w:r w:rsidRPr="00D83307">
        <w:rPr>
          <w:sz w:val="40"/>
          <w:szCs w:val="40"/>
        </w:rPr>
        <w:t xml:space="preserve"> </w:t>
      </w:r>
    </w:p>
    <w:p w14:paraId="1EA09678" w14:textId="77777777" w:rsidR="00D83307" w:rsidRPr="00793BCC" w:rsidRDefault="00D83307" w:rsidP="00825D61">
      <w:pPr>
        <w:rPr>
          <w:sz w:val="24"/>
          <w:szCs w:val="24"/>
        </w:rPr>
      </w:pPr>
    </w:p>
    <w:p w14:paraId="0193AFE8" w14:textId="2863D628" w:rsidR="0049020D" w:rsidRPr="00D83307" w:rsidRDefault="00793BCC" w:rsidP="00825D61">
      <w:pPr>
        <w:rPr>
          <w:sz w:val="24"/>
          <w:szCs w:val="24"/>
        </w:rPr>
      </w:pPr>
      <w:r>
        <w:rPr>
          <w:sz w:val="24"/>
          <w:szCs w:val="24"/>
        </w:rPr>
        <w:t>Velg en (1) av to (2) alternativer</w:t>
      </w:r>
    </w:p>
    <w:p w14:paraId="51B0E32E" w14:textId="77777777" w:rsidR="00096C84" w:rsidRDefault="00096C84" w:rsidP="00BE1668"/>
    <w:p w14:paraId="7B1D2FCF" w14:textId="2C94A841" w:rsidR="00096C84" w:rsidRPr="00096C84" w:rsidRDefault="00D83307" w:rsidP="00BE1668">
      <w:pPr>
        <w:rPr>
          <w:b/>
        </w:rPr>
      </w:pPr>
      <w:r>
        <w:rPr>
          <w:b/>
        </w:rPr>
        <w:t>Alternativ</w:t>
      </w:r>
      <w:r w:rsidR="00096C84" w:rsidRPr="00096C84">
        <w:rPr>
          <w:b/>
        </w:rPr>
        <w:t xml:space="preserve"> 1</w:t>
      </w:r>
    </w:p>
    <w:p w14:paraId="19CFF867" w14:textId="0A084A75" w:rsidR="00BE1668" w:rsidRDefault="00BE1668" w:rsidP="00BE1668">
      <w:r>
        <w:t>Atferdsproblemer og sosial kompetanse</w:t>
      </w:r>
    </w:p>
    <w:p w14:paraId="5A7945D5" w14:textId="744FDFCF" w:rsidR="00F314D6" w:rsidRDefault="006A4DE2" w:rsidP="00BE1668">
      <w:pPr>
        <w:pStyle w:val="ListParagraph"/>
        <w:numPr>
          <w:ilvl w:val="0"/>
          <w:numId w:val="2"/>
        </w:numPr>
      </w:pPr>
      <w:r>
        <w:t>Beskriv</w:t>
      </w:r>
      <w:r w:rsidR="008B0587">
        <w:t xml:space="preserve"> utvikling</w:t>
      </w:r>
      <w:r>
        <w:t>en</w:t>
      </w:r>
      <w:r w:rsidR="008B0587">
        <w:t xml:space="preserve"> av problematferd</w:t>
      </w:r>
      <w:r w:rsidR="000B2A93">
        <w:t>. Ta gjerne utgangspunkt i et livsløpsperspektiv.</w:t>
      </w:r>
    </w:p>
    <w:p w14:paraId="2F3B7BD3" w14:textId="6006B83A" w:rsidR="00FA3556" w:rsidRDefault="00BE1668" w:rsidP="00BE1668">
      <w:pPr>
        <w:pStyle w:val="ListParagraph"/>
        <w:numPr>
          <w:ilvl w:val="0"/>
          <w:numId w:val="2"/>
        </w:numPr>
      </w:pPr>
      <w:r>
        <w:t xml:space="preserve">Ta for deg noen konsekvenser dette kan ha for forebygging </w:t>
      </w:r>
      <w:r w:rsidR="002F5C9F">
        <w:t>og/</w:t>
      </w:r>
      <w:r>
        <w:t>eller intervensjoner i barnehage- og/eller skolealder</w:t>
      </w:r>
    </w:p>
    <w:p w14:paraId="180A161C" w14:textId="77777777" w:rsidR="000B2A93" w:rsidRDefault="000B2A93" w:rsidP="00BE1668">
      <w:r>
        <w:t>Eller</w:t>
      </w:r>
    </w:p>
    <w:p w14:paraId="57125C87" w14:textId="7CD660F5" w:rsidR="00096C84" w:rsidRPr="00096C84" w:rsidRDefault="00096C84" w:rsidP="00BE1668">
      <w:pPr>
        <w:rPr>
          <w:b/>
        </w:rPr>
      </w:pPr>
      <w:r w:rsidRPr="00096C84">
        <w:rPr>
          <w:b/>
        </w:rPr>
        <w:t>Alternativ 2</w:t>
      </w:r>
    </w:p>
    <w:p w14:paraId="32279E2C" w14:textId="77777777" w:rsidR="00FA3556" w:rsidRDefault="00FA3556" w:rsidP="00BE1668">
      <w:r>
        <w:t>Personlighet og stress</w:t>
      </w:r>
    </w:p>
    <w:p w14:paraId="7CA06582" w14:textId="0E9D2D36" w:rsidR="00096C84" w:rsidRDefault="007B5722" w:rsidP="00096C84">
      <w:pPr>
        <w:pStyle w:val="ListParagraph"/>
        <w:numPr>
          <w:ilvl w:val="0"/>
          <w:numId w:val="3"/>
        </w:numPr>
      </w:pPr>
      <w:r>
        <w:t>Forklar hva som men</w:t>
      </w:r>
      <w:r w:rsidR="00096C84">
        <w:t>es med begrepet stress. Drøft</w:t>
      </w:r>
      <w:r>
        <w:t xml:space="preserve"> hvilke faktorer</w:t>
      </w:r>
      <w:r w:rsidR="00E65389">
        <w:t xml:space="preserve"> (stressorer)</w:t>
      </w:r>
      <w:r>
        <w:t xml:space="preserve"> som k</w:t>
      </w:r>
      <w:r w:rsidR="000B2A93">
        <w:t>an føre til</w:t>
      </w:r>
      <w:r w:rsidR="00F314D6">
        <w:t xml:space="preserve"> stress. Ta </w:t>
      </w:r>
      <w:r w:rsidR="000B2A93">
        <w:t xml:space="preserve">utgangspunkt i en </w:t>
      </w:r>
      <w:r w:rsidR="008B0587">
        <w:t>(</w:t>
      </w:r>
      <w:r w:rsidR="000B2A93">
        <w:t>eller flere</w:t>
      </w:r>
      <w:r w:rsidR="008B0587">
        <w:t>)</w:t>
      </w:r>
      <w:r w:rsidR="000B2A93">
        <w:t xml:space="preserve"> teorier som omhandler individuelle forskjeller (personlighetstrekk</w:t>
      </w:r>
      <w:r w:rsidR="008B0587">
        <w:t xml:space="preserve"> eller temperament</w:t>
      </w:r>
      <w:r w:rsidR="000B2A93">
        <w:t xml:space="preserve">) som kan bidra til at noen situasjoner kan </w:t>
      </w:r>
      <w:r w:rsidR="00F314D6">
        <w:t>oppleves som svært ubehagelige</w:t>
      </w:r>
      <w:r w:rsidR="000B2A93">
        <w:t xml:space="preserve"> for noen</w:t>
      </w:r>
      <w:r w:rsidR="00102801">
        <w:t>,</w:t>
      </w:r>
      <w:r w:rsidR="000B2A93">
        <w:t xml:space="preserve"> men </w:t>
      </w:r>
      <w:r w:rsidR="00F314D6">
        <w:t>stimulerende for andre.</w:t>
      </w:r>
    </w:p>
    <w:p w14:paraId="537F10F5" w14:textId="10A72805" w:rsidR="00FA3556" w:rsidRPr="00096C84" w:rsidRDefault="00F314D6" w:rsidP="00096C84">
      <w:pPr>
        <w:pStyle w:val="ListParagraph"/>
        <w:numPr>
          <w:ilvl w:val="0"/>
          <w:numId w:val="3"/>
        </w:numPr>
      </w:pPr>
      <w:r w:rsidRPr="00096C84">
        <w:t xml:space="preserve">Diskuter deretter hvordan en på en hensiktsmessig </w:t>
      </w:r>
      <w:r>
        <w:t>måte kan lage et tilpasse</w:t>
      </w:r>
      <w:r w:rsidR="00102801">
        <w:t>t</w:t>
      </w:r>
      <w:r>
        <w:t xml:space="preserve"> motivasjonsklima i en valgt kontekst (for eksempel en arbeidsplass,</w:t>
      </w:r>
      <w:r w:rsidR="00DD71B1">
        <w:t xml:space="preserve"> barnehage eller skole)</w:t>
      </w:r>
      <w:r w:rsidR="00102801">
        <w:t xml:space="preserve"> -</w:t>
      </w:r>
      <w:r w:rsidR="00DD71B1">
        <w:t xml:space="preserve"> som kan bidra til optimal læring/god helse/trivsel for alle</w:t>
      </w:r>
      <w:r w:rsidR="00102801">
        <w:t>,</w:t>
      </w:r>
      <w:r w:rsidR="00DD71B1">
        <w:t xml:space="preserve"> eller</w:t>
      </w:r>
      <w:r w:rsidR="00102801">
        <w:t xml:space="preserve"> </w:t>
      </w:r>
      <w:r w:rsidR="00096C84">
        <w:t>for enkeltindivider</w:t>
      </w:r>
    </w:p>
    <w:p w14:paraId="2F6BD943" w14:textId="77777777" w:rsidR="00D0421A" w:rsidRDefault="00D0421A" w:rsidP="00D0421A">
      <w:pPr>
        <w:spacing w:after="150" w:line="510" w:lineRule="atLeast"/>
        <w:outlineLvl w:val="1"/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</w:pPr>
    </w:p>
    <w:p w14:paraId="4DB69BDE" w14:textId="77777777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</w:pPr>
    </w:p>
    <w:p w14:paraId="4E98D545" w14:textId="77777777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</w:pPr>
    </w:p>
    <w:p w14:paraId="0894EBBA" w14:textId="7186773A" w:rsidR="00D0421A" w:rsidRP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  <w:t>Del 2 – M</w:t>
      </w:r>
      <w:r w:rsidR="00D0421A" w:rsidRPr="00F869F8">
        <w:rPr>
          <w:rFonts w:ascii="Arial" w:eastAsia="Times New Roman" w:hAnsi="Arial" w:cs="Arial"/>
          <w:b/>
          <w:color w:val="222222"/>
          <w:sz w:val="28"/>
          <w:szCs w:val="28"/>
          <w:lang w:eastAsia="nb-NO"/>
        </w:rPr>
        <w:t xml:space="preserve">inoritets- og migrasjonsrelaterte lærevansker </w:t>
      </w:r>
    </w:p>
    <w:p w14:paraId="5423F6EA" w14:textId="7963DD87" w:rsidR="00D0421A" w:rsidRDefault="00D0421A" w:rsidP="00D0421A">
      <w:pPr>
        <w:spacing w:after="150" w:line="51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793BC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  <w:t>Svar på en av følgende to oppgaver</w:t>
      </w:r>
      <w:r w:rsidRPr="00793BCC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</w:p>
    <w:p w14:paraId="07368BAB" w14:textId="0033CC26" w:rsidR="00ED1B1A" w:rsidRPr="00793BCC" w:rsidRDefault="00ED1B1A" w:rsidP="00D0421A">
      <w:pPr>
        <w:spacing w:after="150" w:line="51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Alternativ 1</w:t>
      </w:r>
    </w:p>
    <w:p w14:paraId="02C45FA1" w14:textId="5E2B8879" w:rsidR="00D0421A" w:rsidRDefault="00D0421A" w:rsidP="00D0421A">
      <w:pPr>
        <w:pStyle w:val="ListParagraph"/>
        <w:numPr>
          <w:ilvl w:val="0"/>
          <w:numId w:val="11"/>
        </w:numPr>
        <w:spacing w:after="150" w:line="51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793BCC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Redegjør for andrespråklæring og hvordan barn tilegner seg et andrespråk. Diskuter faglige utfordringer i andrespråkundervisning.</w:t>
      </w:r>
    </w:p>
    <w:p w14:paraId="471F6C6A" w14:textId="07B9950D" w:rsidR="00ED1B1A" w:rsidRPr="00ED1B1A" w:rsidRDefault="00ED1B1A" w:rsidP="00ED1B1A">
      <w:pPr>
        <w:spacing w:after="150" w:line="51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Alternativ 2</w:t>
      </w:r>
    </w:p>
    <w:p w14:paraId="42955730" w14:textId="77777777" w:rsidR="00D0421A" w:rsidRPr="00793BCC" w:rsidRDefault="00D0421A" w:rsidP="00D0421A">
      <w:pPr>
        <w:pStyle w:val="ListParagraph"/>
        <w:numPr>
          <w:ilvl w:val="0"/>
          <w:numId w:val="11"/>
        </w:numPr>
        <w:spacing w:after="150" w:line="510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793BCC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lastRenderedPageBreak/>
        <w:t>Redegjør for hva som forstås med migrasjonsrelaterte lærevansker og drøft den spesialpedagogiske relevansen av begrepet migrasjonsrelaterte lærevansker.</w:t>
      </w:r>
    </w:p>
    <w:p w14:paraId="763EB304" w14:textId="6C144474" w:rsidR="00D0421A" w:rsidRDefault="00D0421A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6093167E" w14:textId="05D2BF76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0107C3A0" w14:textId="21E8759E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6DF4F37B" w14:textId="692DAD28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1858B651" w14:textId="1E5712A7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0D734040" w14:textId="197497D7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28F1DC9D" w14:textId="61A92DC7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324E14B8" w14:textId="787DA01F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0674B7D5" w14:textId="46BD0F84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5E090A13" w14:textId="1BD473EA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406F98E5" w14:textId="14496E93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6023A7A9" w14:textId="52E3E951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0C7AA9FC" w14:textId="58D7EF0E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6EFAC300" w14:textId="2517CBD1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1CF2CB4C" w14:textId="296DE932" w:rsidR="00793BCC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7897DAAF" w14:textId="77777777" w:rsidR="00793BCC" w:rsidRPr="00F869F8" w:rsidRDefault="00793BCC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5E66847B" w14:textId="7D5EA242" w:rsidR="00D0421A" w:rsidRPr="00F869F8" w:rsidRDefault="00D0421A" w:rsidP="00D0421A">
      <w:pPr>
        <w:spacing w:after="150" w:line="510" w:lineRule="atLeast"/>
        <w:outlineLvl w:val="1"/>
        <w:rPr>
          <w:rFonts w:ascii="Arial" w:eastAsia="Times New Roman" w:hAnsi="Arial" w:cs="Arial"/>
          <w:b/>
          <w:color w:val="222222"/>
          <w:sz w:val="26"/>
          <w:szCs w:val="26"/>
          <w:lang w:eastAsia="nb-NO"/>
        </w:rPr>
      </w:pPr>
      <w:r w:rsidRPr="00F869F8">
        <w:rPr>
          <w:rFonts w:ascii="Arial" w:eastAsia="Times New Roman" w:hAnsi="Arial" w:cs="Arial"/>
          <w:b/>
          <w:color w:val="222222"/>
          <w:sz w:val="26"/>
          <w:szCs w:val="26"/>
          <w:lang w:eastAsia="nb-NO"/>
        </w:rPr>
        <w:t>Utsatt eksamen</w:t>
      </w:r>
      <w:r w:rsidR="00793BCC">
        <w:rPr>
          <w:rFonts w:ascii="Arial" w:eastAsia="Times New Roman" w:hAnsi="Arial" w:cs="Arial"/>
          <w:b/>
          <w:color w:val="222222"/>
          <w:sz w:val="26"/>
          <w:szCs w:val="26"/>
          <w:lang w:eastAsia="nb-NO"/>
        </w:rPr>
        <w:t xml:space="preserve"> </w:t>
      </w:r>
      <w:r w:rsidR="00793BCC" w:rsidRPr="00793BCC">
        <w:rPr>
          <w:rFonts w:ascii="Arial" w:eastAsia="Times New Roman" w:hAnsi="Arial" w:cs="Arial"/>
          <w:b/>
          <w:color w:val="222222"/>
          <w:sz w:val="26"/>
          <w:szCs w:val="26"/>
          <w:lang w:eastAsia="nb-NO"/>
        </w:rPr>
        <w:t>Del 2</w:t>
      </w:r>
      <w:r w:rsidRPr="00793BCC">
        <w:rPr>
          <w:rFonts w:ascii="Arial" w:eastAsia="Times New Roman" w:hAnsi="Arial" w:cs="Arial"/>
          <w:b/>
          <w:color w:val="222222"/>
          <w:sz w:val="26"/>
          <w:szCs w:val="26"/>
          <w:lang w:eastAsia="nb-NO"/>
        </w:rPr>
        <w:t>:</w:t>
      </w:r>
    </w:p>
    <w:p w14:paraId="1DF54F68" w14:textId="5AFB591B" w:rsidR="00D0421A" w:rsidRDefault="00D0421A" w:rsidP="00D0421A">
      <w:pPr>
        <w:spacing w:after="150" w:line="510" w:lineRule="atLeast"/>
        <w:outlineLvl w:val="1"/>
        <w:rPr>
          <w:rFonts w:ascii="Arial" w:eastAsia="Times New Roman" w:hAnsi="Arial" w:cs="Arial"/>
          <w:i/>
          <w:color w:val="222222"/>
          <w:sz w:val="26"/>
          <w:szCs w:val="26"/>
          <w:lang w:eastAsia="nb-NO"/>
        </w:rPr>
      </w:pPr>
      <w:r w:rsidRPr="00F869F8">
        <w:rPr>
          <w:rFonts w:ascii="Arial" w:eastAsia="Times New Roman" w:hAnsi="Arial" w:cs="Arial"/>
          <w:i/>
          <w:color w:val="222222"/>
          <w:sz w:val="26"/>
          <w:szCs w:val="26"/>
          <w:lang w:eastAsia="nb-NO"/>
        </w:rPr>
        <w:t>Svar på en av følgende to oppgaver.</w:t>
      </w:r>
    </w:p>
    <w:p w14:paraId="77963733" w14:textId="5069B3B4" w:rsidR="009A7E08" w:rsidRPr="00F869F8" w:rsidRDefault="009A7E08" w:rsidP="00D0421A">
      <w:pPr>
        <w:spacing w:after="150" w:line="510" w:lineRule="atLeast"/>
        <w:outlineLvl w:val="1"/>
        <w:rPr>
          <w:rFonts w:ascii="Arial" w:eastAsia="Times New Roman" w:hAnsi="Arial" w:cs="Arial"/>
          <w:i/>
          <w:color w:val="222222"/>
          <w:sz w:val="26"/>
          <w:szCs w:val="26"/>
          <w:lang w:eastAsia="nb-NO"/>
        </w:rPr>
      </w:pPr>
      <w:r>
        <w:rPr>
          <w:rFonts w:ascii="Arial" w:eastAsia="Times New Roman" w:hAnsi="Arial" w:cs="Arial"/>
          <w:i/>
          <w:color w:val="222222"/>
          <w:sz w:val="26"/>
          <w:szCs w:val="26"/>
          <w:lang w:eastAsia="nb-NO"/>
        </w:rPr>
        <w:t>Alternativ 1</w:t>
      </w:r>
    </w:p>
    <w:p w14:paraId="66F411C2" w14:textId="021FD42A" w:rsidR="00D0421A" w:rsidRDefault="00D0421A" w:rsidP="00D0421A">
      <w:pPr>
        <w:pStyle w:val="ListParagraph"/>
        <w:numPr>
          <w:ilvl w:val="0"/>
          <w:numId w:val="12"/>
        </w:num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 w:rsidRPr="00F869F8">
        <w:rPr>
          <w:rFonts w:ascii="Arial" w:eastAsia="Times New Roman" w:hAnsi="Arial" w:cs="Arial"/>
          <w:color w:val="222222"/>
          <w:sz w:val="26"/>
          <w:szCs w:val="26"/>
          <w:lang w:eastAsia="nb-NO"/>
        </w:rPr>
        <w:t>Redegjør for morsmålets rolle i primærsosialisering og i opplæringssammenheng. Diskuter morsmålets betydning i utdanningssammenheng.</w:t>
      </w:r>
    </w:p>
    <w:p w14:paraId="1A1B0595" w14:textId="7C102F92" w:rsidR="009A7E08" w:rsidRPr="009A7E08" w:rsidRDefault="009A7E08" w:rsidP="009A7E08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nb-NO"/>
        </w:rPr>
        <w:t>Alternativ 2</w:t>
      </w:r>
    </w:p>
    <w:p w14:paraId="3C5A3C88" w14:textId="77777777" w:rsidR="00D0421A" w:rsidRPr="00F869F8" w:rsidRDefault="00D0421A" w:rsidP="00D0421A">
      <w:pPr>
        <w:pStyle w:val="ListParagraph"/>
        <w:numPr>
          <w:ilvl w:val="0"/>
          <w:numId w:val="12"/>
        </w:num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 w:rsidRPr="00F869F8">
        <w:rPr>
          <w:rFonts w:ascii="Arial" w:eastAsia="Times New Roman" w:hAnsi="Arial" w:cs="Arial"/>
          <w:color w:val="222222"/>
          <w:sz w:val="26"/>
          <w:szCs w:val="26"/>
          <w:lang w:eastAsia="nb-NO"/>
        </w:rPr>
        <w:t>Redegjør for hva som forstås med migrasjonsrelaterte lærevansker og drøft den spesialpedagogiske relevansen av kunnskap om minoritetsspråk og minoritetskulturer.</w:t>
      </w:r>
    </w:p>
    <w:p w14:paraId="6CD10D50" w14:textId="77777777" w:rsidR="00D0421A" w:rsidRPr="00F869F8" w:rsidRDefault="00D0421A" w:rsidP="00D0421A">
      <w:pPr>
        <w:spacing w:after="150" w:line="510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</w:p>
    <w:p w14:paraId="03491AB5" w14:textId="77777777" w:rsidR="00793BCC" w:rsidRDefault="00793BCC" w:rsidP="00AB7F02">
      <w:pPr>
        <w:rPr>
          <w:b/>
        </w:rPr>
      </w:pPr>
    </w:p>
    <w:p w14:paraId="521DF523" w14:textId="77777777" w:rsidR="00793BCC" w:rsidRDefault="00793BCC" w:rsidP="00AB7F02">
      <w:pPr>
        <w:rPr>
          <w:b/>
        </w:rPr>
      </w:pPr>
    </w:p>
    <w:p w14:paraId="02E4ABAD" w14:textId="77777777" w:rsidR="00793BCC" w:rsidRDefault="00793BCC" w:rsidP="00AB7F02">
      <w:pPr>
        <w:rPr>
          <w:b/>
        </w:rPr>
      </w:pPr>
    </w:p>
    <w:p w14:paraId="5FBEEF6E" w14:textId="77777777" w:rsidR="00793BCC" w:rsidRDefault="00793BCC" w:rsidP="00AB7F02">
      <w:pPr>
        <w:rPr>
          <w:b/>
        </w:rPr>
      </w:pPr>
    </w:p>
    <w:p w14:paraId="461597E4" w14:textId="77777777" w:rsidR="00793BCC" w:rsidRDefault="00793BCC" w:rsidP="00AB7F02">
      <w:pPr>
        <w:rPr>
          <w:b/>
        </w:rPr>
      </w:pPr>
    </w:p>
    <w:p w14:paraId="174CC8C5" w14:textId="77777777" w:rsidR="00793BCC" w:rsidRDefault="00793BCC" w:rsidP="00AB7F02">
      <w:pPr>
        <w:rPr>
          <w:b/>
        </w:rPr>
      </w:pPr>
    </w:p>
    <w:p w14:paraId="70C954CB" w14:textId="77777777" w:rsidR="00793BCC" w:rsidRDefault="00793BCC" w:rsidP="00AB7F02">
      <w:pPr>
        <w:rPr>
          <w:b/>
        </w:rPr>
      </w:pPr>
    </w:p>
    <w:p w14:paraId="497FC88F" w14:textId="77777777" w:rsidR="00793BCC" w:rsidRDefault="00793BCC" w:rsidP="00AB7F02">
      <w:pPr>
        <w:rPr>
          <w:b/>
        </w:rPr>
      </w:pPr>
    </w:p>
    <w:p w14:paraId="4FFFB73F" w14:textId="77777777" w:rsidR="00793BCC" w:rsidRDefault="00793BCC" w:rsidP="00AB7F02">
      <w:pPr>
        <w:rPr>
          <w:b/>
        </w:rPr>
      </w:pPr>
    </w:p>
    <w:p w14:paraId="63CEC5DD" w14:textId="77777777" w:rsidR="00793BCC" w:rsidRDefault="00793BCC" w:rsidP="00AB7F02">
      <w:pPr>
        <w:rPr>
          <w:b/>
        </w:rPr>
      </w:pPr>
    </w:p>
    <w:p w14:paraId="4D58A28E" w14:textId="77777777" w:rsidR="00793BCC" w:rsidRDefault="00793BCC" w:rsidP="00AB7F02">
      <w:pPr>
        <w:rPr>
          <w:b/>
        </w:rPr>
      </w:pPr>
    </w:p>
    <w:p w14:paraId="10C548D3" w14:textId="77777777" w:rsidR="00793BCC" w:rsidRDefault="00793BCC" w:rsidP="00AB7F02">
      <w:pPr>
        <w:rPr>
          <w:b/>
        </w:rPr>
      </w:pPr>
    </w:p>
    <w:p w14:paraId="1656E1D2" w14:textId="77777777" w:rsidR="00793BCC" w:rsidRDefault="00793BCC" w:rsidP="00AB7F02">
      <w:pPr>
        <w:rPr>
          <w:b/>
        </w:rPr>
      </w:pPr>
    </w:p>
    <w:p w14:paraId="1669F330" w14:textId="77777777" w:rsidR="00793BCC" w:rsidRDefault="00793BCC" w:rsidP="00AB7F02">
      <w:pPr>
        <w:rPr>
          <w:b/>
        </w:rPr>
      </w:pPr>
    </w:p>
    <w:p w14:paraId="0559B05B" w14:textId="77777777" w:rsidR="00793BCC" w:rsidRDefault="00793BCC" w:rsidP="00AB7F02">
      <w:pPr>
        <w:rPr>
          <w:b/>
        </w:rPr>
      </w:pPr>
    </w:p>
    <w:p w14:paraId="6814815F" w14:textId="10C65DE4" w:rsidR="00793BCC" w:rsidRDefault="00793BCC" w:rsidP="00AB7F02">
      <w:pPr>
        <w:rPr>
          <w:b/>
        </w:rPr>
      </w:pPr>
    </w:p>
    <w:p w14:paraId="14BF2788" w14:textId="7E2E13ED" w:rsidR="00793BCC" w:rsidRDefault="00793BCC" w:rsidP="00AB7F02">
      <w:pPr>
        <w:rPr>
          <w:b/>
        </w:rPr>
      </w:pPr>
    </w:p>
    <w:p w14:paraId="48BF7378" w14:textId="68B95259" w:rsidR="00793BCC" w:rsidRPr="00793BCC" w:rsidRDefault="00793BCC" w:rsidP="00AB7F02">
      <w:pPr>
        <w:rPr>
          <w:b/>
          <w:sz w:val="48"/>
          <w:szCs w:val="48"/>
        </w:rPr>
      </w:pPr>
      <w:r w:rsidRPr="00793BCC">
        <w:rPr>
          <w:b/>
          <w:sz w:val="48"/>
          <w:szCs w:val="48"/>
        </w:rPr>
        <w:t>Sensorveiledning</w:t>
      </w:r>
    </w:p>
    <w:p w14:paraId="64E5B1EC" w14:textId="77777777" w:rsidR="00793BCC" w:rsidRDefault="00793BCC" w:rsidP="00AB7F02">
      <w:pPr>
        <w:rPr>
          <w:b/>
        </w:rPr>
      </w:pPr>
    </w:p>
    <w:p w14:paraId="02E09E85" w14:textId="77777777" w:rsidR="00793BCC" w:rsidRDefault="00793BCC" w:rsidP="00AB7F02">
      <w:pPr>
        <w:rPr>
          <w:b/>
        </w:rPr>
      </w:pPr>
    </w:p>
    <w:p w14:paraId="794AE9E5" w14:textId="5AE79F8C" w:rsidR="00AB7F02" w:rsidRPr="00F6076C" w:rsidRDefault="00AB7F02" w:rsidP="00AB7F02">
      <w:pPr>
        <w:rPr>
          <w:b/>
        </w:rPr>
      </w:pPr>
      <w:r>
        <w:rPr>
          <w:b/>
        </w:rPr>
        <w:t>Generelle k</w:t>
      </w:r>
      <w:r w:rsidRPr="00F6076C">
        <w:rPr>
          <w:b/>
        </w:rPr>
        <w:t>riterier ved sensurering</w:t>
      </w:r>
    </w:p>
    <w:p w14:paraId="49FBE4DC" w14:textId="77777777" w:rsidR="00AB7F02" w:rsidRDefault="00AB7F02" w:rsidP="00AB7F02">
      <w:pPr>
        <w:pStyle w:val="ListParagraph"/>
        <w:numPr>
          <w:ilvl w:val="0"/>
          <w:numId w:val="7"/>
        </w:numPr>
      </w:pPr>
      <w:r w:rsidRPr="005B7320">
        <w:t>Oppgave</w:t>
      </w:r>
      <w:r>
        <w:t>teksten presiseres og avgrenses</w:t>
      </w:r>
    </w:p>
    <w:p w14:paraId="5F87B0B3" w14:textId="77777777" w:rsidR="00AB7F02" w:rsidRDefault="00AB7F02" w:rsidP="00AB7F02">
      <w:pPr>
        <w:pStyle w:val="ListParagraph"/>
        <w:numPr>
          <w:ilvl w:val="0"/>
          <w:numId w:val="7"/>
        </w:numPr>
      </w:pPr>
      <w:r w:rsidRPr="005B7320">
        <w:t>Oppgaveteksten besvares</w:t>
      </w:r>
    </w:p>
    <w:p w14:paraId="7392A8A1" w14:textId="77777777" w:rsidR="00AB7F02" w:rsidRDefault="00AB7F02" w:rsidP="00AB7F02">
      <w:pPr>
        <w:pStyle w:val="ListParagraph"/>
        <w:numPr>
          <w:ilvl w:val="0"/>
          <w:numId w:val="7"/>
        </w:numPr>
      </w:pPr>
      <w:r w:rsidRPr="005B7320">
        <w:t>Redegjørelse for sent</w:t>
      </w:r>
      <w:r>
        <w:t>rale begreper og relevant teori</w:t>
      </w:r>
    </w:p>
    <w:p w14:paraId="5C5C0E04" w14:textId="77777777" w:rsidR="00AB7F02" w:rsidRDefault="00AB7F02" w:rsidP="00AB7F02">
      <w:pPr>
        <w:pStyle w:val="ListParagraph"/>
        <w:numPr>
          <w:ilvl w:val="0"/>
          <w:numId w:val="7"/>
        </w:numPr>
      </w:pPr>
      <w:r w:rsidRPr="005B7320">
        <w:t>Hoveddel skal inneholde teoretisk redegjørelse og, når etterspurt, pedagogiske perspektiver</w:t>
      </w:r>
    </w:p>
    <w:p w14:paraId="52928E16" w14:textId="77777777" w:rsidR="00AB7F02" w:rsidRDefault="00AB7F02" w:rsidP="00AB7F02">
      <w:pPr>
        <w:pStyle w:val="ListParagraph"/>
        <w:numPr>
          <w:ilvl w:val="0"/>
          <w:numId w:val="7"/>
        </w:numPr>
      </w:pPr>
      <w:r w:rsidRPr="005B7320">
        <w:t>Drøfting av relevante momenter</w:t>
      </w:r>
    </w:p>
    <w:p w14:paraId="5B61CBA4" w14:textId="77777777" w:rsidR="00AB7F02" w:rsidRDefault="00AB7F02" w:rsidP="00AB7F02">
      <w:pPr>
        <w:pStyle w:val="ListParagraph"/>
        <w:numPr>
          <w:ilvl w:val="0"/>
          <w:numId w:val="7"/>
        </w:numPr>
      </w:pPr>
      <w:r w:rsidRPr="005B7320">
        <w:t>Viser teoretisk kunnskap innenfor emnet i tråd med læringsutbyttebeskrivelsene, forelesningene og pensum</w:t>
      </w:r>
    </w:p>
    <w:p w14:paraId="51CE30C3" w14:textId="77777777" w:rsidR="00AB7F02" w:rsidRDefault="00AB7F02" w:rsidP="00AB7F02">
      <w:pPr>
        <w:pStyle w:val="ListParagraph"/>
        <w:numPr>
          <w:ilvl w:val="0"/>
          <w:numId w:val="7"/>
        </w:numPr>
      </w:pPr>
      <w:r w:rsidRPr="005B7320">
        <w:t>Logisk oppbygning, balanse og indre sammenheng</w:t>
      </w:r>
    </w:p>
    <w:p w14:paraId="6E318F0A" w14:textId="77777777" w:rsidR="00AB7F02" w:rsidRPr="005B7320" w:rsidRDefault="00AB7F02" w:rsidP="00AB7F02">
      <w:pPr>
        <w:pStyle w:val="ListParagraph"/>
        <w:numPr>
          <w:ilvl w:val="0"/>
          <w:numId w:val="7"/>
        </w:numPr>
      </w:pPr>
      <w:r w:rsidRPr="005B7320">
        <w:t>Teksten er skrevet i ak</w:t>
      </w:r>
      <w:r>
        <w:t xml:space="preserve">ademisk stil </w:t>
      </w:r>
    </w:p>
    <w:p w14:paraId="2AF8A316" w14:textId="77777777" w:rsidR="00D0421A" w:rsidRPr="00F869F8" w:rsidRDefault="00D0421A" w:rsidP="00D0421A">
      <w:pPr>
        <w:rPr>
          <w:rFonts w:ascii="Arial" w:eastAsia="Times New Roman" w:hAnsi="Arial" w:cs="Arial"/>
          <w:color w:val="222222"/>
          <w:sz w:val="26"/>
          <w:szCs w:val="26"/>
          <w:lang w:eastAsia="nb-NO"/>
        </w:rPr>
      </w:pPr>
      <w:r w:rsidRPr="00F869F8">
        <w:rPr>
          <w:rFonts w:ascii="Arial" w:eastAsia="Times New Roman" w:hAnsi="Arial" w:cs="Arial"/>
          <w:color w:val="222222"/>
          <w:sz w:val="26"/>
          <w:szCs w:val="26"/>
          <w:lang w:eastAsia="nb-NO"/>
        </w:rPr>
        <w:br w:type="page"/>
      </w:r>
    </w:p>
    <w:p w14:paraId="3D84031C" w14:textId="77777777" w:rsidR="00D0421A" w:rsidRDefault="00D0421A" w:rsidP="00F6076C">
      <w:pPr>
        <w:rPr>
          <w:b/>
        </w:rPr>
      </w:pPr>
    </w:p>
    <w:p w14:paraId="743D4B4C" w14:textId="1139A85A" w:rsidR="009A7E08" w:rsidRDefault="009A7E08" w:rsidP="009A7E08">
      <w:pPr>
        <w:rPr>
          <w:b/>
        </w:rPr>
      </w:pPr>
      <w:r w:rsidRPr="00D83307">
        <w:rPr>
          <w:rFonts w:ascii="Times New Roman" w:hAnsi="Times New Roman" w:cs="Times New Roman"/>
          <w:sz w:val="40"/>
          <w:szCs w:val="40"/>
        </w:rPr>
        <w:t>Del 1: Psykososiale vansker og personlighetsutvikling</w:t>
      </w:r>
    </w:p>
    <w:p w14:paraId="08D1B2FD" w14:textId="77777777" w:rsidR="009A7E08" w:rsidRDefault="009A7E08" w:rsidP="00686C59">
      <w:pPr>
        <w:rPr>
          <w:b/>
        </w:rPr>
      </w:pPr>
    </w:p>
    <w:p w14:paraId="220D2B51" w14:textId="6E7E92C6" w:rsidR="00F6076C" w:rsidRDefault="005B7320" w:rsidP="00686C59">
      <w:pPr>
        <w:rPr>
          <w:b/>
        </w:rPr>
      </w:pPr>
      <w:r>
        <w:rPr>
          <w:b/>
        </w:rPr>
        <w:t>Mer oppgavespesifikke kriterier</w:t>
      </w:r>
    </w:p>
    <w:p w14:paraId="37140618" w14:textId="7CE96D25" w:rsidR="00686C59" w:rsidRPr="00686C59" w:rsidRDefault="00686C59" w:rsidP="00686C59">
      <w:pPr>
        <w:rPr>
          <w:b/>
        </w:rPr>
      </w:pPr>
      <w:r>
        <w:rPr>
          <w:b/>
        </w:rPr>
        <w:t>Alternativ</w:t>
      </w:r>
      <w:r w:rsidRPr="00686C59">
        <w:rPr>
          <w:b/>
        </w:rPr>
        <w:t xml:space="preserve"> 1:</w:t>
      </w:r>
    </w:p>
    <w:p w14:paraId="163A8822" w14:textId="6F3A2808" w:rsidR="00686C59" w:rsidRPr="00686C59" w:rsidRDefault="00686C59" w:rsidP="00686C59">
      <w:r w:rsidRPr="00686C59">
        <w:t>Stu</w:t>
      </w:r>
      <w:r w:rsidR="006A4DE2">
        <w:t xml:space="preserve">dentene bør kunne definere </w:t>
      </w:r>
      <w:r w:rsidR="00B01793">
        <w:t>problematferd</w:t>
      </w:r>
      <w:r w:rsidRPr="00686C59">
        <w:t xml:space="preserve"> og ku</w:t>
      </w:r>
      <w:r w:rsidR="006A4DE2">
        <w:t>nne redegjøre for hvordan den utvikles</w:t>
      </w:r>
      <w:r w:rsidRPr="00686C59">
        <w:t xml:space="preserve"> gjennom et livsløp.   </w:t>
      </w:r>
    </w:p>
    <w:p w14:paraId="3A6C57CC" w14:textId="7DB1F20C" w:rsidR="00686C59" w:rsidRPr="00686C59" w:rsidRDefault="00686C59" w:rsidP="00686C59">
      <w:r w:rsidRPr="00686C59">
        <w:t>Alternative løsninger på oppgaven er</w:t>
      </w:r>
      <w:r w:rsidR="0029110F">
        <w:t xml:space="preserve"> </w:t>
      </w:r>
      <w:r w:rsidRPr="00686C59">
        <w:t>at studentene r</w:t>
      </w:r>
      <w:r w:rsidR="00B01793">
        <w:t>edegjør for ulike former for problematferd</w:t>
      </w:r>
      <w:r w:rsidR="0029110F">
        <w:t xml:space="preserve"> </w:t>
      </w:r>
      <w:r w:rsidR="007F2543">
        <w:t xml:space="preserve">eller </w:t>
      </w:r>
      <w:r w:rsidRPr="00686C59">
        <w:t xml:space="preserve">at de avgrenser til en type eller til enkelte kategorier innenfor begrepet og hvordan det er relatert til sosial kompetanse. </w:t>
      </w:r>
    </w:p>
    <w:p w14:paraId="6970F44A" w14:textId="2E226E27" w:rsidR="00686C59" w:rsidRPr="00686C59" w:rsidRDefault="00686C59" w:rsidP="00686C59">
      <w:r w:rsidRPr="00686C59">
        <w:t>Studentene bør påpeke at det er en rik begrepsflora innenfor denne tematikken. Om de avgrenser til en term de velger å anvende gjennomgående</w:t>
      </w:r>
      <w:r w:rsidR="007F2543">
        <w:t>,</w:t>
      </w:r>
      <w:r w:rsidRPr="00686C59">
        <w:t xml:space="preserve"> er dette fordelaktig. Om studentene</w:t>
      </w:r>
      <w:r w:rsidR="00B01793">
        <w:t xml:space="preserve"> velger én type problematferd (eksempelvis aggresjon/</w:t>
      </w:r>
      <w:r w:rsidRPr="00686C59">
        <w:t>normovertredelser</w:t>
      </w:r>
      <w:r w:rsidR="00B01793">
        <w:t xml:space="preserve"> eller internalisert problematferd</w:t>
      </w:r>
      <w:r w:rsidRPr="00686C59">
        <w:t>)</w:t>
      </w:r>
      <w:r w:rsidR="007F2543">
        <w:t>,</w:t>
      </w:r>
      <w:r w:rsidRPr="00686C59">
        <w:t xml:space="preserve"> kan dette være en god avgrensning. Det er en styrke om student</w:t>
      </w:r>
      <w:r w:rsidR="006A4DE2">
        <w:t>ene får frem at både risiko- og beskyttelsesfaktorer er avgjørende for utvikling av ulike former av problematferd</w:t>
      </w:r>
      <w:r w:rsidRPr="00686C59">
        <w:t xml:space="preserve">. </w:t>
      </w:r>
      <w:r w:rsidR="007F2543">
        <w:t xml:space="preserve">I svært </w:t>
      </w:r>
      <w:r w:rsidRPr="00686C59">
        <w:t xml:space="preserve">gode besvarelser vil gjensidigheten </w:t>
      </w:r>
      <w:r w:rsidR="007F2543">
        <w:t xml:space="preserve">bl.a. </w:t>
      </w:r>
      <w:r w:rsidRPr="00686C59">
        <w:t xml:space="preserve">også </w:t>
      </w:r>
      <w:r w:rsidR="007F2543">
        <w:t xml:space="preserve">kunne drøftes </w:t>
      </w:r>
      <w:proofErr w:type="spellStart"/>
      <w:r w:rsidR="007F2543">
        <w:t>ift</w:t>
      </w:r>
      <w:proofErr w:type="spellEnd"/>
      <w:r w:rsidR="007F2543">
        <w:t xml:space="preserve"> </w:t>
      </w:r>
      <w:r w:rsidRPr="00686C59">
        <w:t xml:space="preserve">  konsekvenser </w:t>
      </w:r>
      <w:r w:rsidR="007F2543">
        <w:t xml:space="preserve">for </w:t>
      </w:r>
      <w:r w:rsidRPr="00686C59">
        <w:t>forebygging og/eller behandling</w:t>
      </w:r>
      <w:r w:rsidR="007F2543">
        <w:t>,</w:t>
      </w:r>
      <w:r w:rsidRPr="00686C59">
        <w:t xml:space="preserve"> </w:t>
      </w:r>
      <w:proofErr w:type="spellStart"/>
      <w:r w:rsidR="007F2543">
        <w:t>ift</w:t>
      </w:r>
      <w:proofErr w:type="spellEnd"/>
      <w:r w:rsidR="007F2543">
        <w:t xml:space="preserve"> </w:t>
      </w:r>
      <w:r w:rsidRPr="00686C59">
        <w:t xml:space="preserve">hvordan dette er tilpasset aldersgruppe (for eksempel barnehage/skolealder) og om det er universelle forebyggende, selekterte eller indikerte tiltak som omhandles. </w:t>
      </w:r>
    </w:p>
    <w:p w14:paraId="268F1FB8" w14:textId="223B3BD7" w:rsidR="00FA3556" w:rsidRDefault="00FA3556" w:rsidP="00BE1668"/>
    <w:p w14:paraId="55737C26" w14:textId="3E560B65" w:rsidR="00686C59" w:rsidRPr="005A0584" w:rsidRDefault="005A0584" w:rsidP="00BE1668">
      <w:pPr>
        <w:rPr>
          <w:b/>
        </w:rPr>
      </w:pPr>
      <w:r w:rsidRPr="005A0584">
        <w:rPr>
          <w:b/>
        </w:rPr>
        <w:t>Alternativ 2</w:t>
      </w:r>
    </w:p>
    <w:p w14:paraId="19667431" w14:textId="69DBFD8A" w:rsidR="00123B35" w:rsidRDefault="005A0584" w:rsidP="00BE1668">
      <w:r>
        <w:t>Studentene bør kunne definere stress og redegjøre for hvordan samspillet mellom vurderingen av krav i en situasjon og egne ressurser</w:t>
      </w:r>
      <w:r w:rsidR="004F168B">
        <w:t>,</w:t>
      </w:r>
      <w:r>
        <w:t xml:space="preserve"> </w:t>
      </w:r>
      <w:r w:rsidR="004F168B">
        <w:t xml:space="preserve">kan </w:t>
      </w:r>
      <w:r>
        <w:t xml:space="preserve">føre til en slik tilstand. </w:t>
      </w:r>
      <w:r w:rsidR="002B471A">
        <w:t>I drøftingen av faktorer som kan føre til stress</w:t>
      </w:r>
      <w:r w:rsidR="004F168B">
        <w:t>,</w:t>
      </w:r>
      <w:r w:rsidR="002B471A">
        <w:t xml:space="preserve"> forventes det at </w:t>
      </w:r>
      <w:r w:rsidR="004F168B">
        <w:t xml:space="preserve">det redegjøres for </w:t>
      </w:r>
      <w:r w:rsidR="002B471A">
        <w:t>samspillet mellom ulike situasjonelle stressorer og individuelle forskjeller</w:t>
      </w:r>
      <w:r w:rsidR="00F108A7">
        <w:t xml:space="preserve">. </w:t>
      </w:r>
    </w:p>
    <w:p w14:paraId="10AAFBE2" w14:textId="5E918600" w:rsidR="00686C59" w:rsidRDefault="004F168B" w:rsidP="00BE1668">
      <w:r>
        <w:t xml:space="preserve">Gode </w:t>
      </w:r>
      <w:r w:rsidR="00F108A7">
        <w:t xml:space="preserve">besvarelser </w:t>
      </w:r>
      <w:r>
        <w:t xml:space="preserve">diskuterer </w:t>
      </w:r>
      <w:r w:rsidR="00F108A7">
        <w:t>hvordan</w:t>
      </w:r>
      <w:r w:rsidR="002B471A">
        <w:t xml:space="preserve"> individuelle forskjeller</w:t>
      </w:r>
      <w:r w:rsidR="00F108A7">
        <w:t xml:space="preserve"> (som f.eks. forklaringsstil, temperament, </w:t>
      </w:r>
      <w:proofErr w:type="spellStart"/>
      <w:r w:rsidR="00F108A7">
        <w:t>locus</w:t>
      </w:r>
      <w:proofErr w:type="spellEnd"/>
      <w:r w:rsidR="00F108A7">
        <w:t xml:space="preserve"> </w:t>
      </w:r>
      <w:proofErr w:type="spellStart"/>
      <w:r w:rsidR="00F108A7">
        <w:t>of</w:t>
      </w:r>
      <w:proofErr w:type="spellEnd"/>
      <w:r w:rsidR="00F108A7">
        <w:t xml:space="preserve"> </w:t>
      </w:r>
      <w:proofErr w:type="spellStart"/>
      <w:r w:rsidR="00F108A7">
        <w:t>control</w:t>
      </w:r>
      <w:proofErr w:type="spellEnd"/>
      <w:r w:rsidR="00F108A7">
        <w:t xml:space="preserve">) </w:t>
      </w:r>
      <w:r>
        <w:t xml:space="preserve">kan </w:t>
      </w:r>
      <w:r w:rsidR="00F108A7">
        <w:t>bidra til ulike stressreaksjoner</w:t>
      </w:r>
      <w:r>
        <w:t>,</w:t>
      </w:r>
      <w:r w:rsidR="00F108A7">
        <w:t xml:space="preserve"> som konsekvens</w:t>
      </w:r>
      <w:r w:rsidR="002B471A">
        <w:t xml:space="preserve"> </w:t>
      </w:r>
      <w:r w:rsidR="00F6076C">
        <w:t>av</w:t>
      </w:r>
      <w:r w:rsidR="00F108A7">
        <w:t xml:space="preserve"> ulike livshendelser (f. eks. normative, akutte eller kroniske) </w:t>
      </w:r>
      <w:r>
        <w:t xml:space="preserve">- </w:t>
      </w:r>
      <w:r w:rsidR="00F108A7">
        <w:t>gjennom ulike typer vurderinger (primære o</w:t>
      </w:r>
      <w:r w:rsidR="00F6076C">
        <w:t>g sekundære) og/eller typer</w:t>
      </w:r>
      <w:r w:rsidR="00F108A7">
        <w:t xml:space="preserve"> av mestring (f. eks. problem fokusert, revurdering)</w:t>
      </w:r>
      <w:r>
        <w:t xml:space="preserve">. </w:t>
      </w:r>
      <w:r w:rsidR="00123B35">
        <w:t xml:space="preserve"> </w:t>
      </w:r>
    </w:p>
    <w:p w14:paraId="4C52B8DF" w14:textId="330A9E8E" w:rsidR="005B7320" w:rsidRDefault="005B7320" w:rsidP="00BE1668">
      <w:r>
        <w:t xml:space="preserve">I del B </w:t>
      </w:r>
      <w:r w:rsidR="00D403D9">
        <w:t xml:space="preserve">vil en og god besvarelse ta utgangspunkt i en eller flere motivasjonsteorier (f. eks. SDT, </w:t>
      </w:r>
      <w:proofErr w:type="spellStart"/>
      <w:r w:rsidR="00D403D9">
        <w:t>Achievement</w:t>
      </w:r>
      <w:proofErr w:type="spellEnd"/>
      <w:r w:rsidR="00D403D9">
        <w:t xml:space="preserve"> </w:t>
      </w:r>
      <w:proofErr w:type="spellStart"/>
      <w:r w:rsidR="00D403D9">
        <w:t>motivation</w:t>
      </w:r>
      <w:proofErr w:type="spellEnd"/>
      <w:r w:rsidR="00D403D9">
        <w:t xml:space="preserve"> </w:t>
      </w:r>
      <w:proofErr w:type="spellStart"/>
      <w:r w:rsidR="00D403D9">
        <w:t>theory</w:t>
      </w:r>
      <w:proofErr w:type="spellEnd"/>
      <w:r w:rsidR="00D403D9">
        <w:t xml:space="preserve">, målorienteringsteori eller </w:t>
      </w:r>
      <w:r w:rsidR="0029110F">
        <w:t xml:space="preserve">sosial læringsteori) </w:t>
      </w:r>
      <w:r w:rsidR="00D403D9">
        <w:t xml:space="preserve">og diskutere hvordan den kan bidra til å skape et motivasjonsklima </w:t>
      </w:r>
      <w:r w:rsidR="00D403D9" w:rsidRPr="00D403D9">
        <w:t>som kan bidra til optimal læring/god helse/trivsel for alle, eller for enkeltindivider</w:t>
      </w:r>
      <w:r w:rsidR="00D403D9">
        <w:t xml:space="preserve">. </w:t>
      </w:r>
    </w:p>
    <w:p w14:paraId="49641670" w14:textId="744D2DA2" w:rsidR="005A0584" w:rsidRDefault="005A0584" w:rsidP="00BE1668"/>
    <w:p w14:paraId="09F36490" w14:textId="77777777" w:rsidR="00FB30AA" w:rsidRDefault="00FB30AA" w:rsidP="00FB30AA">
      <w:r>
        <w:t>Kort om emnet</w:t>
      </w:r>
    </w:p>
    <w:p w14:paraId="59659318" w14:textId="77777777" w:rsidR="00FB30AA" w:rsidRDefault="00FB30AA" w:rsidP="00FB30AA">
      <w:r>
        <w:t>Psykososiale vansker og personlighetsutvikling omfatter</w:t>
      </w:r>
    </w:p>
    <w:p w14:paraId="28C8F50F" w14:textId="77777777" w:rsidR="00FB30AA" w:rsidRDefault="00FB30AA" w:rsidP="00FB30AA">
      <w:r>
        <w:t>•</w:t>
      </w:r>
      <w:r>
        <w:tab/>
        <w:t>forståelsesformer, kjennetegn og teoretiske perspektiv</w:t>
      </w:r>
    </w:p>
    <w:p w14:paraId="406E0529" w14:textId="77777777" w:rsidR="00FB30AA" w:rsidRDefault="00FB30AA" w:rsidP="00FB30AA">
      <w:r>
        <w:t>•</w:t>
      </w:r>
      <w:r>
        <w:tab/>
        <w:t>risiko- og beskyttelsesfaktorer</w:t>
      </w:r>
    </w:p>
    <w:p w14:paraId="57C8BF06" w14:textId="77777777" w:rsidR="00FB30AA" w:rsidRDefault="00FB30AA" w:rsidP="00FB30AA">
      <w:r>
        <w:t>•</w:t>
      </w:r>
      <w:r>
        <w:tab/>
        <w:t>begreper og teoretiske perspektiver innen personlighetspsykologi</w:t>
      </w:r>
    </w:p>
    <w:p w14:paraId="4B552DCF" w14:textId="77777777" w:rsidR="00FB30AA" w:rsidRDefault="00FB30AA" w:rsidP="00FB30AA">
      <w:r>
        <w:lastRenderedPageBreak/>
        <w:t>•</w:t>
      </w:r>
      <w:r>
        <w:tab/>
        <w:t>sosial kompetanse</w:t>
      </w:r>
    </w:p>
    <w:p w14:paraId="1DCB35DE" w14:textId="77777777" w:rsidR="00FB30AA" w:rsidRDefault="00FB30AA" w:rsidP="00FB30AA">
      <w:r>
        <w:t>•</w:t>
      </w:r>
      <w:r>
        <w:tab/>
        <w:t>psykisk helse og tidlig intervensjon</w:t>
      </w:r>
    </w:p>
    <w:p w14:paraId="17DE4D0F" w14:textId="77777777" w:rsidR="00FB30AA" w:rsidRDefault="00FB30AA" w:rsidP="00FB30AA">
      <w:r>
        <w:t>•</w:t>
      </w:r>
      <w:r>
        <w:tab/>
        <w:t>observasjons- og kartleggingsmetoder</w:t>
      </w:r>
    </w:p>
    <w:p w14:paraId="463EEFE5" w14:textId="77777777" w:rsidR="00FB30AA" w:rsidRDefault="00FB30AA" w:rsidP="00FB30AA">
      <w:r>
        <w:t>•</w:t>
      </w:r>
      <w:r>
        <w:tab/>
        <w:t>tiltak og tiltaksevaluering på individ- og systemnivå</w:t>
      </w:r>
    </w:p>
    <w:p w14:paraId="77860DEA" w14:textId="77777777" w:rsidR="00FB30AA" w:rsidRDefault="00FB30AA" w:rsidP="00FB30AA"/>
    <w:p w14:paraId="6CD0AF29" w14:textId="77777777" w:rsidR="00FB30AA" w:rsidRDefault="00FB30AA" w:rsidP="00FB30AA">
      <w:r>
        <w:t>Kunnskapsmål</w:t>
      </w:r>
    </w:p>
    <w:p w14:paraId="1CDC9A21" w14:textId="77777777" w:rsidR="00FB30AA" w:rsidRDefault="00FB30AA" w:rsidP="00FB30AA">
      <w:r>
        <w:t>Emnet gir kunnskap om ulike utviklingsforstyrrelser og lærevansker sett i relasjon til alderstypisk læring og utvikling. Sentrale begreper og teorier innen de ulike vanskeområdene, nivåer av årsaksforklaringer (</w:t>
      </w:r>
      <w:proofErr w:type="spellStart"/>
      <w:r>
        <w:t>nevro</w:t>
      </w:r>
      <w:proofErr w:type="spellEnd"/>
      <w:r>
        <w:t>-/biologisk, kognitivt og miljømessig) og læringsbetingelser kommer i søkelyset.</w:t>
      </w:r>
    </w:p>
    <w:p w14:paraId="56119C8F" w14:textId="77777777" w:rsidR="00FB30AA" w:rsidRDefault="00FB30AA" w:rsidP="00FB30AA">
      <w:r>
        <w:t>Man får innsikt i hvordan skole og barnehage kan tilrettelegge for læring og utvikling for (høyfrekvente) grupper med særskilte behov.</w:t>
      </w:r>
    </w:p>
    <w:p w14:paraId="7CAFF91B" w14:textId="77777777" w:rsidR="00FB30AA" w:rsidRDefault="00FB30AA" w:rsidP="00FB30AA">
      <w:r>
        <w:t>Deltakere skal kvalifisere seg for kartlegging, planlegging, undervisning/opplæring og evaluering av tiltak både på individ-, gruppe- og systemnivå.</w:t>
      </w:r>
    </w:p>
    <w:p w14:paraId="05F474E0" w14:textId="77777777" w:rsidR="00FB30AA" w:rsidRDefault="00FB30AA" w:rsidP="00FB30AA"/>
    <w:p w14:paraId="0E3476CA" w14:textId="77777777" w:rsidR="00FB30AA" w:rsidRDefault="00FB30AA" w:rsidP="00FB30AA">
      <w:r>
        <w:t>Ferdighetsmål</w:t>
      </w:r>
    </w:p>
    <w:p w14:paraId="0DBDECD1" w14:textId="77777777" w:rsidR="00FB30AA" w:rsidRDefault="00FB30AA" w:rsidP="00FB30AA">
      <w:r>
        <w:t>Undervisningen skal bidra til at studentene utvikler ferdigheter som styrker evnen til å kunne</w:t>
      </w:r>
    </w:p>
    <w:p w14:paraId="4A32C1B3" w14:textId="77777777" w:rsidR="00FB30AA" w:rsidRDefault="00FB30AA" w:rsidP="00FB30AA">
      <w:r>
        <w:t>•</w:t>
      </w:r>
      <w:r>
        <w:tab/>
        <w:t>reflektere over og kritisk vurdere fag- og forskningslitteratur</w:t>
      </w:r>
    </w:p>
    <w:p w14:paraId="183DDD93" w14:textId="77777777" w:rsidR="00FB30AA" w:rsidRDefault="00FB30AA" w:rsidP="00FB30AA">
      <w:r>
        <w:t>•</w:t>
      </w:r>
      <w:r>
        <w:tab/>
        <w:t>kontemplere over egen kunnskap og ferdigheter innen fagfeltet</w:t>
      </w:r>
    </w:p>
    <w:p w14:paraId="186A194F" w14:textId="77777777" w:rsidR="00FB30AA" w:rsidRDefault="00FB30AA" w:rsidP="00FB30AA">
      <w:r>
        <w:t>•</w:t>
      </w:r>
      <w:r>
        <w:tab/>
        <w:t>anvende faglige kunnskaper på praktiske problemstillinger</w:t>
      </w:r>
    </w:p>
    <w:p w14:paraId="3959BB6C" w14:textId="77777777" w:rsidR="00FB30AA" w:rsidRDefault="00FB30AA" w:rsidP="00FB30AA"/>
    <w:p w14:paraId="42780244" w14:textId="77777777" w:rsidR="00FB30AA" w:rsidRDefault="00FB30AA" w:rsidP="00FB30AA">
      <w:r>
        <w:t>Generell kompetanse</w:t>
      </w:r>
    </w:p>
    <w:p w14:paraId="10FBB0FD" w14:textId="77777777" w:rsidR="00FB30AA" w:rsidRDefault="00FB30AA" w:rsidP="00FB30AA">
      <w:r>
        <w:t>Det skal legges grunnlag for studentenes videre profesjonell utvikling gjennom kunnskaper, holdninger og ferdigheter. Målet er at hun/han ut fra sin kompetanse skal kunne</w:t>
      </w:r>
    </w:p>
    <w:p w14:paraId="22C19BED" w14:textId="77777777" w:rsidR="00FB30AA" w:rsidRDefault="00FB30AA" w:rsidP="00FB30AA">
      <w:r>
        <w:t>•</w:t>
      </w:r>
      <w:r>
        <w:tab/>
        <w:t>delta i spesialpedagogisk og tverrfaglig kartlegging</w:t>
      </w:r>
    </w:p>
    <w:p w14:paraId="7887878B" w14:textId="77777777" w:rsidR="00FB30AA" w:rsidRDefault="00FB30AA" w:rsidP="00FB30AA">
      <w:r>
        <w:t>•</w:t>
      </w:r>
      <w:r>
        <w:tab/>
        <w:t>planlegge og gjennomføre tiltak på individ og systemnivå</w:t>
      </w:r>
    </w:p>
    <w:p w14:paraId="4FDC9B42" w14:textId="0267E566" w:rsidR="00FB30AA" w:rsidRDefault="00FB30AA" w:rsidP="00FB30AA">
      <w:r>
        <w:t>•</w:t>
      </w:r>
      <w:r>
        <w:tab/>
        <w:t xml:space="preserve">utdype og søke ny kunnskap og innsikt innen aktuelle forsknings- og anvendelsesområder                         </w:t>
      </w:r>
    </w:p>
    <w:p w14:paraId="4A9B9781" w14:textId="77777777" w:rsidR="005A0584" w:rsidRDefault="005A0584" w:rsidP="00BE1668"/>
    <w:p w14:paraId="48AFE2E0" w14:textId="77777777" w:rsidR="009A7E08" w:rsidRDefault="009A7E08" w:rsidP="00ED4A70">
      <w:pPr>
        <w:rPr>
          <w:b/>
          <w:sz w:val="32"/>
          <w:szCs w:val="32"/>
        </w:rPr>
      </w:pPr>
    </w:p>
    <w:p w14:paraId="6B3344B7" w14:textId="77777777" w:rsidR="009A7E08" w:rsidRDefault="009A7E08" w:rsidP="00ED4A70">
      <w:pPr>
        <w:rPr>
          <w:b/>
          <w:sz w:val="32"/>
          <w:szCs w:val="32"/>
        </w:rPr>
      </w:pPr>
    </w:p>
    <w:p w14:paraId="3816798C" w14:textId="77777777" w:rsidR="009A7E08" w:rsidRDefault="009A7E08" w:rsidP="00ED4A70">
      <w:pPr>
        <w:rPr>
          <w:b/>
          <w:sz w:val="32"/>
          <w:szCs w:val="32"/>
        </w:rPr>
      </w:pPr>
    </w:p>
    <w:p w14:paraId="341EB3FB" w14:textId="1D5FD86D" w:rsidR="009A7E08" w:rsidRDefault="009A7E08" w:rsidP="009A7E08">
      <w:pPr>
        <w:spacing w:before="150" w:after="0" w:line="390" w:lineRule="atLeast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nb-NO"/>
        </w:rPr>
      </w:pPr>
      <w:r w:rsidRPr="009A7E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nb-NO"/>
        </w:rPr>
        <w:t xml:space="preserve">Del 2 </w:t>
      </w:r>
      <w:r w:rsidRPr="009A7E08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nb-NO"/>
        </w:rPr>
        <w:t>Minoritets- og migrasjonsrelaterte lærevansker:</w:t>
      </w:r>
    </w:p>
    <w:p w14:paraId="00FE9276" w14:textId="77777777" w:rsidR="006A7FB2" w:rsidRPr="009A7E08" w:rsidRDefault="006A7FB2" w:rsidP="009A7E08">
      <w:pPr>
        <w:spacing w:before="150" w:after="0" w:line="390" w:lineRule="atLeast"/>
        <w:rPr>
          <w:rFonts w:ascii="Times New Roman" w:eastAsia="Times New Roman" w:hAnsi="Times New Roman" w:cs="Times New Roman"/>
          <w:color w:val="444444"/>
          <w:sz w:val="36"/>
          <w:szCs w:val="36"/>
          <w:lang w:eastAsia="nb-NO"/>
        </w:rPr>
      </w:pPr>
      <w:bookmarkStart w:id="0" w:name="_GoBack"/>
      <w:bookmarkEnd w:id="0"/>
    </w:p>
    <w:p w14:paraId="18EB6F7D" w14:textId="77777777" w:rsidR="009A7E08" w:rsidRPr="009A7E08" w:rsidRDefault="009A7E08" w:rsidP="009A7E08">
      <w:pPr>
        <w:numPr>
          <w:ilvl w:val="0"/>
          <w:numId w:val="8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individ, kultur og samfunn</w:t>
      </w:r>
    </w:p>
    <w:p w14:paraId="1B20D6F1" w14:textId="77777777" w:rsidR="009A7E08" w:rsidRPr="009A7E08" w:rsidRDefault="009A7E08" w:rsidP="009A7E08">
      <w:pPr>
        <w:numPr>
          <w:ilvl w:val="0"/>
          <w:numId w:val="8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minoriteter og mangfold i skole, barnehage og samfunn</w:t>
      </w:r>
    </w:p>
    <w:p w14:paraId="55E2AECC" w14:textId="77777777" w:rsidR="009A7E08" w:rsidRPr="009A7E08" w:rsidRDefault="009A7E08" w:rsidP="009A7E08">
      <w:pPr>
        <w:numPr>
          <w:ilvl w:val="0"/>
          <w:numId w:val="8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morsmål og norsk som andrespråk</w:t>
      </w:r>
    </w:p>
    <w:p w14:paraId="74589A61" w14:textId="77777777" w:rsidR="009A7E08" w:rsidRPr="009A7E08" w:rsidRDefault="009A7E08" w:rsidP="009A7E08">
      <w:pPr>
        <w:numPr>
          <w:ilvl w:val="0"/>
          <w:numId w:val="8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tospråklig lese- og skriveutvikling</w:t>
      </w:r>
    </w:p>
    <w:p w14:paraId="06276604" w14:textId="77777777" w:rsidR="009A7E08" w:rsidRPr="009A7E08" w:rsidRDefault="009A7E08" w:rsidP="009A7E08">
      <w:pPr>
        <w:numPr>
          <w:ilvl w:val="0"/>
          <w:numId w:val="8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minoritetselever med særskilte behov</w:t>
      </w:r>
    </w:p>
    <w:p w14:paraId="308154C9" w14:textId="77777777" w:rsidR="009A7E08" w:rsidRPr="009A7E08" w:rsidRDefault="009A7E08" w:rsidP="009A7E08">
      <w:pPr>
        <w:numPr>
          <w:ilvl w:val="0"/>
          <w:numId w:val="8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rammer og regelverk</w:t>
      </w:r>
    </w:p>
    <w:p w14:paraId="6C9E78BC" w14:textId="77777777" w:rsidR="009A7E08" w:rsidRPr="009A7E08" w:rsidRDefault="009A7E08" w:rsidP="009A7E08">
      <w:pPr>
        <w:spacing w:before="375" w:after="0" w:line="390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Kunnskapsmål</w:t>
      </w:r>
    </w:p>
    <w:p w14:paraId="168ABCB6" w14:textId="77777777" w:rsidR="009A7E08" w:rsidRPr="009A7E08" w:rsidRDefault="009A7E08" w:rsidP="009A7E08">
      <w:pPr>
        <w:spacing w:before="150" w:after="0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Emnet gir kunnskap om ulike utviklingsforstyrrelser og lærevansker sett i relasjon til alderstypisk læring og utvikling. Sentrale begreper og teorier innen de ulike vanskeområdene, nivåer av årsaksforklaringer (</w:t>
      </w:r>
      <w:proofErr w:type="spellStart"/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nevro</w:t>
      </w:r>
      <w:proofErr w:type="spellEnd"/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/biologisk, kognitivt og miljømessig) og læringsbetingelser kommer i søkelyset.</w:t>
      </w:r>
    </w:p>
    <w:p w14:paraId="637641B2" w14:textId="77777777" w:rsidR="009A7E08" w:rsidRPr="009A7E08" w:rsidRDefault="009A7E08" w:rsidP="009A7E08">
      <w:pPr>
        <w:spacing w:before="150" w:after="0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Man får innsikt i hvordan skole og barnehage kan tilrettelegge for læring og utvikling for (høyfrekvente) grupper med særskilte behov.</w:t>
      </w:r>
    </w:p>
    <w:p w14:paraId="4AC3309D" w14:textId="77777777" w:rsidR="009A7E08" w:rsidRPr="009A7E08" w:rsidRDefault="009A7E08" w:rsidP="009A7E08">
      <w:pPr>
        <w:spacing w:before="150" w:after="0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Deltakere skal kvalifisere seg for kartlegging, planlegging, undervisning/opplæring og evaluering av tiltak både på individ-, gruppe- og systemnivå.</w:t>
      </w:r>
    </w:p>
    <w:p w14:paraId="3D2CE6E7" w14:textId="77777777" w:rsidR="009A7E08" w:rsidRPr="009A7E08" w:rsidRDefault="009A7E08" w:rsidP="009A7E08">
      <w:pPr>
        <w:spacing w:before="375" w:after="0" w:line="390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Ferdighetsmål</w:t>
      </w:r>
    </w:p>
    <w:p w14:paraId="7EA30D06" w14:textId="77777777" w:rsidR="009A7E08" w:rsidRPr="009A7E08" w:rsidRDefault="009A7E08" w:rsidP="009A7E08">
      <w:pPr>
        <w:spacing w:before="150" w:after="0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Undervisningen skal bidra til at studentene utvikler ferdigheter som styrker evnen til å kunne</w:t>
      </w:r>
    </w:p>
    <w:p w14:paraId="5037889A" w14:textId="77777777" w:rsidR="009A7E08" w:rsidRPr="009A7E08" w:rsidRDefault="009A7E08" w:rsidP="009A7E08">
      <w:pPr>
        <w:numPr>
          <w:ilvl w:val="0"/>
          <w:numId w:val="9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reflektere over og kritisk vurdere fag- og forskningslitteratur</w:t>
      </w:r>
    </w:p>
    <w:p w14:paraId="7D806BA9" w14:textId="77777777" w:rsidR="009A7E08" w:rsidRPr="009A7E08" w:rsidRDefault="009A7E08" w:rsidP="009A7E08">
      <w:pPr>
        <w:numPr>
          <w:ilvl w:val="0"/>
          <w:numId w:val="9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kontemplere over egen kunnskap og ferdigheter innen fagfeltet</w:t>
      </w:r>
    </w:p>
    <w:p w14:paraId="42AF2BEE" w14:textId="77777777" w:rsidR="009A7E08" w:rsidRPr="009A7E08" w:rsidRDefault="009A7E08" w:rsidP="009A7E08">
      <w:pPr>
        <w:numPr>
          <w:ilvl w:val="0"/>
          <w:numId w:val="9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anvende faglige kunnskaper på praktiske problemstillinger</w:t>
      </w:r>
    </w:p>
    <w:p w14:paraId="553514EA" w14:textId="77777777" w:rsidR="009A7E08" w:rsidRPr="009A7E08" w:rsidRDefault="009A7E08" w:rsidP="009A7E08">
      <w:pPr>
        <w:spacing w:before="375" w:after="0" w:line="390" w:lineRule="atLeast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Generell kompetanse</w:t>
      </w:r>
    </w:p>
    <w:p w14:paraId="70702B79" w14:textId="77777777" w:rsidR="009A7E08" w:rsidRPr="009A7E08" w:rsidRDefault="009A7E08" w:rsidP="009A7E08">
      <w:pPr>
        <w:spacing w:before="150" w:after="0" w:line="39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Det skal legges grunnlag for studentenes videre profesjonell utvikling gjennom kunnskaper, holdninger og ferdigheter. Målet er at hun/han ut fra sin kompetanse skal kunne</w:t>
      </w:r>
    </w:p>
    <w:p w14:paraId="1A40B253" w14:textId="77777777" w:rsidR="009A7E08" w:rsidRPr="009A7E08" w:rsidRDefault="009A7E08" w:rsidP="009A7E08">
      <w:pPr>
        <w:numPr>
          <w:ilvl w:val="0"/>
          <w:numId w:val="10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delta i spesialpedagogisk og tverrfaglig kartlegging</w:t>
      </w:r>
    </w:p>
    <w:p w14:paraId="3F05ED40" w14:textId="77777777" w:rsidR="009A7E08" w:rsidRPr="009A7E08" w:rsidRDefault="009A7E08" w:rsidP="009A7E08">
      <w:pPr>
        <w:numPr>
          <w:ilvl w:val="0"/>
          <w:numId w:val="10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planlegge og gjennomføre tiltak på individ og systemnivå</w:t>
      </w:r>
    </w:p>
    <w:p w14:paraId="616B7495" w14:textId="77777777" w:rsidR="009A7E08" w:rsidRPr="009A7E08" w:rsidRDefault="009A7E08" w:rsidP="009A7E08">
      <w:pPr>
        <w:numPr>
          <w:ilvl w:val="0"/>
          <w:numId w:val="10"/>
        </w:numPr>
        <w:spacing w:after="0" w:line="390" w:lineRule="atLeast"/>
        <w:ind w:left="954"/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</w:pPr>
      <w:r w:rsidRPr="009A7E08">
        <w:rPr>
          <w:rFonts w:ascii="Times New Roman" w:eastAsia="Times New Roman" w:hAnsi="Times New Roman" w:cs="Times New Roman"/>
          <w:color w:val="444444"/>
          <w:sz w:val="24"/>
          <w:szCs w:val="24"/>
          <w:lang w:eastAsia="nb-NO"/>
        </w:rPr>
        <w:t>utdype og søke ny kunnskap og innsikt innen aktuelle forsknings- og anvendelsesområder                                                                                </w:t>
      </w:r>
    </w:p>
    <w:p w14:paraId="72646B24" w14:textId="77777777" w:rsidR="009A7E08" w:rsidRDefault="009A7E08" w:rsidP="009A7E08">
      <w:pPr>
        <w:rPr>
          <w:b/>
        </w:rPr>
      </w:pPr>
    </w:p>
    <w:p w14:paraId="63CF8A9A" w14:textId="77777777" w:rsidR="009A7E08" w:rsidRDefault="009A7E08" w:rsidP="00ED4A70">
      <w:pPr>
        <w:rPr>
          <w:b/>
          <w:sz w:val="32"/>
          <w:szCs w:val="32"/>
        </w:rPr>
      </w:pPr>
    </w:p>
    <w:p w14:paraId="532FE368" w14:textId="40D89D89" w:rsidR="00ED4A70" w:rsidRPr="00ED4A70" w:rsidRDefault="00ED4A70" w:rsidP="00ED4A70">
      <w:pPr>
        <w:rPr>
          <w:b/>
          <w:sz w:val="32"/>
          <w:szCs w:val="32"/>
        </w:rPr>
      </w:pPr>
      <w:r w:rsidRPr="00ED4A70">
        <w:rPr>
          <w:b/>
          <w:sz w:val="32"/>
          <w:szCs w:val="32"/>
        </w:rPr>
        <w:t>Pensum/læringskrav</w:t>
      </w:r>
    </w:p>
    <w:p w14:paraId="6F33EB43" w14:textId="77777777" w:rsidR="00ED4A70" w:rsidRPr="00ED4A70" w:rsidRDefault="00ED4A70" w:rsidP="00ED4A70">
      <w:pPr>
        <w:rPr>
          <w:b/>
          <w:sz w:val="32"/>
          <w:szCs w:val="32"/>
        </w:rPr>
      </w:pPr>
      <w:r w:rsidRPr="00ED4A70">
        <w:rPr>
          <w:b/>
          <w:sz w:val="32"/>
          <w:szCs w:val="32"/>
        </w:rPr>
        <w:t>Psykososiale vansker og personlighetsutvikling</w:t>
      </w:r>
    </w:p>
    <w:p w14:paraId="5786A7EF" w14:textId="32D0A62A" w:rsidR="00ED4A70" w:rsidRPr="00272D9F" w:rsidRDefault="00ED4A70" w:rsidP="00ED4A70">
      <w:r w:rsidRPr="00272D9F">
        <w:t>Berg, N.B.J. (2005). Elev og menneske. Psykisk helse i skolen. Oslo: Gyldendal akademisk. Del 1 og del 2 (s. 33 - 273). 240 s.</w:t>
      </w:r>
    </w:p>
    <w:p w14:paraId="71D1B862" w14:textId="0983616B" w:rsidR="00ED4A70" w:rsidRPr="00272D9F" w:rsidRDefault="00ED4A70" w:rsidP="00ED4A70">
      <w:proofErr w:type="spellStart"/>
      <w:r w:rsidRPr="00272D9F">
        <w:lastRenderedPageBreak/>
        <w:t>Killén</w:t>
      </w:r>
      <w:proofErr w:type="spellEnd"/>
      <w:r w:rsidRPr="00272D9F">
        <w:t>, K. (2013): Barndommen varer i generasjoner. Forebygging er alles ansvar. 3. utgave. Oslo: Kommuneforlaget. 203 s.</w:t>
      </w:r>
    </w:p>
    <w:p w14:paraId="06E7475A" w14:textId="103CF647" w:rsidR="00ED4A70" w:rsidRPr="00272D9F" w:rsidRDefault="00ED4A70" w:rsidP="00ED4A70">
      <w:proofErr w:type="spellStart"/>
      <w:r w:rsidRPr="00272D9F">
        <w:t>Kokkersvold</w:t>
      </w:r>
      <w:proofErr w:type="spellEnd"/>
      <w:r w:rsidRPr="00272D9F">
        <w:t>, E. (2014). Psykososiale lærevansker. 14 s. Last ned i full tekst</w:t>
      </w:r>
    </w:p>
    <w:p w14:paraId="7D0B9DE2" w14:textId="0DC0C24F" w:rsidR="00ED4A70" w:rsidRPr="00272D9F" w:rsidRDefault="00ED4A70" w:rsidP="00ED4A70">
      <w:r w:rsidRPr="00272D9F">
        <w:rPr>
          <w:lang w:val="en-US"/>
        </w:rPr>
        <w:t xml:space="preserve">Larsen, R., D. Buss, A. </w:t>
      </w:r>
      <w:proofErr w:type="spellStart"/>
      <w:r w:rsidRPr="00272D9F">
        <w:rPr>
          <w:lang w:val="en-US"/>
        </w:rPr>
        <w:t>Wismejer</w:t>
      </w:r>
      <w:proofErr w:type="spellEnd"/>
      <w:r w:rsidRPr="00272D9F">
        <w:rPr>
          <w:lang w:val="en-US"/>
        </w:rPr>
        <w:t xml:space="preserve"> &amp; J. Song (2017) Personality Psychology. Domains of Knowledge about Human Nature. London: Mc Graw-Hill Higher Education. </w:t>
      </w:r>
      <w:r w:rsidRPr="00272D9F">
        <w:t xml:space="preserve">2nd </w:t>
      </w:r>
      <w:proofErr w:type="spellStart"/>
      <w:r w:rsidRPr="00272D9F">
        <w:t>edition</w:t>
      </w:r>
      <w:proofErr w:type="spellEnd"/>
      <w:r w:rsidRPr="00272D9F">
        <w:t>. Kap. 1, 3, 5, 6, 9, 10, 11, 12, 13, 14, 18, 19 og 20, 312 s.</w:t>
      </w:r>
    </w:p>
    <w:p w14:paraId="52B03D60" w14:textId="36EB133D" w:rsidR="00ED4A70" w:rsidRPr="00272D9F" w:rsidRDefault="00ED4A70" w:rsidP="00ED4A70">
      <w:r w:rsidRPr="00272D9F">
        <w:t xml:space="preserve">Damsgaard, H.L. &amp; </w:t>
      </w:r>
      <w:proofErr w:type="spellStart"/>
      <w:r w:rsidRPr="00272D9F">
        <w:t>Kokkersvold</w:t>
      </w:r>
      <w:proofErr w:type="spellEnd"/>
      <w:r w:rsidRPr="00272D9F">
        <w:t>, E. (2011). Ungdom på ville veier – skoleerfaringer og kriminalitet. Oslo: Unipub. Kap. 5-10, s. 103-215. 112 s.</w:t>
      </w:r>
    </w:p>
    <w:p w14:paraId="0F6BA078" w14:textId="734DCA06" w:rsidR="00ED4A70" w:rsidRPr="00272D9F" w:rsidRDefault="00ED4A70" w:rsidP="00ED4A70">
      <w:pPr>
        <w:rPr>
          <w:lang w:val="en-US"/>
        </w:rPr>
      </w:pPr>
      <w:r w:rsidRPr="00272D9F">
        <w:t xml:space="preserve">Ogden, T. (2015): Sosial kompetanse og problematferd blant barn og unge. </w:t>
      </w:r>
      <w:r w:rsidRPr="00272D9F">
        <w:rPr>
          <w:lang w:val="en-US"/>
        </w:rPr>
        <w:t xml:space="preserve">Oslo: </w:t>
      </w:r>
      <w:proofErr w:type="spellStart"/>
      <w:r w:rsidRPr="00272D9F">
        <w:rPr>
          <w:lang w:val="en-US"/>
        </w:rPr>
        <w:t>Gyldendal</w:t>
      </w:r>
      <w:proofErr w:type="spellEnd"/>
      <w:r w:rsidRPr="00272D9F">
        <w:rPr>
          <w:lang w:val="en-US"/>
        </w:rPr>
        <w:t xml:space="preserve"> </w:t>
      </w:r>
      <w:proofErr w:type="spellStart"/>
      <w:r w:rsidRPr="00272D9F">
        <w:rPr>
          <w:lang w:val="en-US"/>
        </w:rPr>
        <w:t>Akademisk</w:t>
      </w:r>
      <w:proofErr w:type="spellEnd"/>
      <w:r w:rsidRPr="00272D9F">
        <w:rPr>
          <w:lang w:val="en-US"/>
        </w:rPr>
        <w:t>. 306 s.</w:t>
      </w:r>
    </w:p>
    <w:p w14:paraId="5BC09695" w14:textId="0A4C313C" w:rsidR="00FA3556" w:rsidRPr="00272D9F" w:rsidRDefault="00ED4A70" w:rsidP="00ED4A70">
      <w:pPr>
        <w:rPr>
          <w:lang w:val="en-US"/>
        </w:rPr>
      </w:pPr>
      <w:r w:rsidRPr="00272D9F">
        <w:rPr>
          <w:lang w:val="en-US"/>
        </w:rPr>
        <w:t xml:space="preserve">Ødegård, M. (2017): A Comparative Study of Disruptive Behavior between Schools in Norway and the United States. A conceptual and empirical exploration of disruptive behavior in schools. Oslo: University of Oslo, Chapter 2, p. 6-19. </w:t>
      </w:r>
      <w:hyperlink r:id="rId5" w:history="1">
        <w:r w:rsidR="00377B43" w:rsidRPr="00272D9F">
          <w:rPr>
            <w:rStyle w:val="Hyperlink"/>
            <w:color w:val="auto"/>
            <w:lang w:val="en-US"/>
          </w:rPr>
          <w:t>https://www.duo.uio.no/bitstream/handle/10852/59214/PhD-Odegaard-2017.pdf?sequence=4&amp;isAllowed=y</w:t>
        </w:r>
      </w:hyperlink>
    </w:p>
    <w:p w14:paraId="1BC24FAB" w14:textId="08771656" w:rsidR="005A0584" w:rsidRPr="00272D9F" w:rsidRDefault="005A0584" w:rsidP="00FE19DF">
      <w:pPr>
        <w:rPr>
          <w:lang w:val="en-US"/>
        </w:rPr>
      </w:pPr>
    </w:p>
    <w:p w14:paraId="5BA09218" w14:textId="6F170FED" w:rsidR="005A0584" w:rsidRPr="00272D9F" w:rsidRDefault="005A0584" w:rsidP="00FE19DF">
      <w:pPr>
        <w:rPr>
          <w:b/>
        </w:rPr>
      </w:pPr>
      <w:r w:rsidRPr="00272D9F">
        <w:rPr>
          <w:b/>
        </w:rPr>
        <w:t>Supplerende litteratur:</w:t>
      </w:r>
    </w:p>
    <w:p w14:paraId="0DDE9DEB" w14:textId="1D1723BA" w:rsidR="00FE19DF" w:rsidRPr="00272D9F" w:rsidRDefault="005A0584" w:rsidP="00FE19DF">
      <w:pPr>
        <w:rPr>
          <w:lang w:val="en-US"/>
        </w:rPr>
      </w:pPr>
      <w:r w:rsidRPr="00272D9F">
        <w:t>Bjørnebekk, R.</w:t>
      </w:r>
      <w:r w:rsidR="00377B43" w:rsidRPr="00272D9F">
        <w:t xml:space="preserve">, &amp; Bjørnebekk, G. (2009). Alvorlige atferdsproblemer og antisosialitet. Barn. </w:t>
      </w:r>
      <w:r w:rsidR="00377B43" w:rsidRPr="00272D9F">
        <w:rPr>
          <w:lang w:val="en-US"/>
        </w:rPr>
        <w:t xml:space="preserve">Oslo: </w:t>
      </w:r>
      <w:proofErr w:type="spellStart"/>
      <w:r w:rsidR="00377B43" w:rsidRPr="00272D9F">
        <w:rPr>
          <w:lang w:val="en-US"/>
        </w:rPr>
        <w:t>Universitetsforlaget</w:t>
      </w:r>
      <w:proofErr w:type="spellEnd"/>
      <w:r w:rsidR="00377B43" w:rsidRPr="00272D9F">
        <w:rPr>
          <w:lang w:val="en-US"/>
        </w:rPr>
        <w:t>.</w:t>
      </w:r>
    </w:p>
    <w:p w14:paraId="799ED684" w14:textId="3FAEF3E3" w:rsidR="00FE19DF" w:rsidRPr="00272D9F" w:rsidRDefault="00FE19DF" w:rsidP="00FE19DF">
      <w:pPr>
        <w:rPr>
          <w:lang w:val="en-US"/>
        </w:rPr>
      </w:pPr>
      <w:proofErr w:type="spellStart"/>
      <w:r w:rsidRPr="00272D9F">
        <w:rPr>
          <w:lang w:val="en-US"/>
        </w:rPr>
        <w:t>Dishion</w:t>
      </w:r>
      <w:proofErr w:type="spellEnd"/>
      <w:r w:rsidRPr="00272D9F">
        <w:rPr>
          <w:lang w:val="en-US"/>
        </w:rPr>
        <w:t>, T. J., &amp; Patterson, G. R. (2015). The development and ecology of antisocial behavior in children and adolescents. Developmental psychopathology: Volume three: Risk, disorder, and adaptation, 503-541.</w:t>
      </w:r>
    </w:p>
    <w:p w14:paraId="407371DD" w14:textId="35CF2AF6" w:rsidR="00FE19DF" w:rsidRPr="00272D9F" w:rsidRDefault="00FE19DF" w:rsidP="00FE19DF">
      <w:pPr>
        <w:rPr>
          <w:lang w:val="en-US"/>
        </w:rPr>
      </w:pPr>
      <w:r w:rsidRPr="00272D9F">
        <w:rPr>
          <w:lang w:val="en-US"/>
        </w:rPr>
        <w:t xml:space="preserve">Moffitt, T. E. (2018). Male antisocial </w:t>
      </w:r>
      <w:proofErr w:type="spellStart"/>
      <w:r w:rsidRPr="00272D9F">
        <w:rPr>
          <w:lang w:val="en-US"/>
        </w:rPr>
        <w:t>behaviour</w:t>
      </w:r>
      <w:proofErr w:type="spellEnd"/>
      <w:r w:rsidRPr="00272D9F">
        <w:rPr>
          <w:lang w:val="en-US"/>
        </w:rPr>
        <w:t xml:space="preserve"> in adolescence and beyond. Nature human </w:t>
      </w:r>
      <w:proofErr w:type="spellStart"/>
      <w:r w:rsidRPr="00272D9F">
        <w:rPr>
          <w:lang w:val="en-US"/>
        </w:rPr>
        <w:t>behaviour</w:t>
      </w:r>
      <w:proofErr w:type="spellEnd"/>
      <w:r w:rsidRPr="00272D9F">
        <w:rPr>
          <w:lang w:val="en-US"/>
        </w:rPr>
        <w:t>, 1.</w:t>
      </w:r>
    </w:p>
    <w:p w14:paraId="70D397BC" w14:textId="67AFF947" w:rsidR="00FE19DF" w:rsidRPr="00272D9F" w:rsidRDefault="00FE19DF" w:rsidP="00FE19DF">
      <w:pPr>
        <w:rPr>
          <w:lang w:val="en-US"/>
        </w:rPr>
      </w:pPr>
      <w:r w:rsidRPr="00272D9F">
        <w:rPr>
          <w:lang w:val="en-US"/>
        </w:rPr>
        <w:t xml:space="preserve">Moffitt, T. E. (2006). Life-course-persistent versus adolescence-limited antisocial behavior. U: D. </w:t>
      </w:r>
      <w:proofErr w:type="spellStart"/>
      <w:r w:rsidRPr="00272D9F">
        <w:rPr>
          <w:lang w:val="en-US"/>
        </w:rPr>
        <w:t>Cicchetti</w:t>
      </w:r>
      <w:proofErr w:type="spellEnd"/>
      <w:r w:rsidRPr="00272D9F">
        <w:rPr>
          <w:lang w:val="en-US"/>
        </w:rPr>
        <w:t xml:space="preserve"> </w:t>
      </w:r>
      <w:proofErr w:type="spellStart"/>
      <w:r w:rsidRPr="00272D9F">
        <w:rPr>
          <w:lang w:val="en-US"/>
        </w:rPr>
        <w:t>i</w:t>
      </w:r>
      <w:proofErr w:type="spellEnd"/>
      <w:r w:rsidRPr="00272D9F">
        <w:rPr>
          <w:lang w:val="en-US"/>
        </w:rPr>
        <w:t xml:space="preserve"> DJ Cohen (Ur.), Developmental psychopathology: Risk, disorder and adaptation (str. 570–598).</w:t>
      </w:r>
    </w:p>
    <w:p w14:paraId="43CAA4A1" w14:textId="64FB17CB" w:rsidR="00686C59" w:rsidRDefault="00FE19DF" w:rsidP="00FE19DF">
      <w:r w:rsidRPr="00FE19DF">
        <w:rPr>
          <w:lang w:val="en-US"/>
        </w:rPr>
        <w:t xml:space="preserve">Patterson, G. R., </w:t>
      </w:r>
      <w:proofErr w:type="spellStart"/>
      <w:r w:rsidRPr="00FE19DF">
        <w:rPr>
          <w:lang w:val="en-US"/>
        </w:rPr>
        <w:t>DeBaryshe</w:t>
      </w:r>
      <w:proofErr w:type="spellEnd"/>
      <w:r w:rsidRPr="00FE19DF">
        <w:rPr>
          <w:lang w:val="en-US"/>
        </w:rPr>
        <w:t xml:space="preserve">, B. D., &amp; Ramsey, E. (2017). A developmental perspective on antisocial behavior. </w:t>
      </w:r>
      <w:r>
        <w:t xml:space="preserve">In </w:t>
      </w:r>
      <w:proofErr w:type="spellStart"/>
      <w:r>
        <w:t>Developmental</w:t>
      </w:r>
      <w:proofErr w:type="spellEnd"/>
      <w:r>
        <w:t xml:space="preserve"> and Life-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Criminological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(</w:t>
      </w:r>
      <w:proofErr w:type="spellStart"/>
      <w:r>
        <w:t>pp</w:t>
      </w:r>
      <w:proofErr w:type="spellEnd"/>
      <w:r>
        <w:t xml:space="preserve">. 29-35). </w:t>
      </w:r>
      <w:proofErr w:type="spellStart"/>
      <w:r>
        <w:t>Routledge</w:t>
      </w:r>
      <w:proofErr w:type="spellEnd"/>
      <w:r>
        <w:t>.</w:t>
      </w:r>
    </w:p>
    <w:p w14:paraId="269F1502" w14:textId="77777777" w:rsidR="00686C59" w:rsidRPr="00377B43" w:rsidRDefault="00686C59" w:rsidP="00377B43"/>
    <w:p w14:paraId="477513F0" w14:textId="1C4CF893" w:rsidR="00377B43" w:rsidRDefault="00377B43" w:rsidP="00ED4A70">
      <w:pPr>
        <w:rPr>
          <w:lang w:val="en-US"/>
        </w:rPr>
      </w:pPr>
    </w:p>
    <w:p w14:paraId="378C4C10" w14:textId="77777777" w:rsidR="000C19F8" w:rsidRDefault="000C19F8" w:rsidP="00686C59">
      <w:pPr>
        <w:rPr>
          <w:b/>
          <w:sz w:val="24"/>
          <w:szCs w:val="24"/>
        </w:rPr>
      </w:pPr>
    </w:p>
    <w:p w14:paraId="19335CFF" w14:textId="77777777" w:rsidR="000C19F8" w:rsidRDefault="000C19F8" w:rsidP="00686C59">
      <w:pPr>
        <w:rPr>
          <w:b/>
          <w:sz w:val="24"/>
          <w:szCs w:val="24"/>
        </w:rPr>
      </w:pPr>
    </w:p>
    <w:p w14:paraId="629D7221" w14:textId="679923C3" w:rsidR="000C19F8" w:rsidRPr="000C19F8" w:rsidRDefault="000C19F8" w:rsidP="000C1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 2 </w:t>
      </w:r>
      <w:r w:rsidRPr="000C19F8">
        <w:rPr>
          <w:rFonts w:ascii="Times New Roman" w:hAnsi="Times New Roman" w:cs="Times New Roman"/>
          <w:b/>
          <w:sz w:val="28"/>
          <w:szCs w:val="28"/>
        </w:rPr>
        <w:t>Minoritets og migrasjonsrelaterte lærevansker</w:t>
      </w:r>
    </w:p>
    <w:p w14:paraId="4D303C58" w14:textId="77777777" w:rsidR="000C19F8" w:rsidRPr="000C19F8" w:rsidRDefault="000C19F8" w:rsidP="000C19F8">
      <w:pPr>
        <w:rPr>
          <w:rFonts w:ascii="Times New Roman" w:hAnsi="Times New Roman" w:cs="Times New Roman"/>
          <w:b/>
          <w:sz w:val="28"/>
          <w:szCs w:val="28"/>
        </w:rPr>
      </w:pPr>
    </w:p>
    <w:p w14:paraId="4E87EC70" w14:textId="77777777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r w:rsidRPr="000C19F8">
        <w:rPr>
          <w:rFonts w:ascii="Times New Roman" w:hAnsi="Times New Roman" w:cs="Times New Roman"/>
          <w:sz w:val="24"/>
          <w:szCs w:val="24"/>
        </w:rPr>
        <w:t xml:space="preserve">Bråten, I. (Red.) (2007). Leseforståelse. Lesing i kunnskapssamfunnet – teori og praksis. Oslo: Cappelen akademisk forlag.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>. 6 og 7, s. 128-165, 36 s.</w:t>
      </w:r>
    </w:p>
    <w:p w14:paraId="6ED72A61" w14:textId="07B15281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9F8">
        <w:rPr>
          <w:rFonts w:ascii="Times New Roman" w:hAnsi="Times New Roman" w:cs="Times New Roman"/>
          <w:sz w:val="24"/>
          <w:szCs w:val="24"/>
          <w:lang w:val="en-US"/>
        </w:rPr>
        <w:t>Driver, M. K. &amp; Powell, S. R. (2017). Culturally and linguistically responsive schema intervention: Improving word problem solving for English language learners with mathematics difficulty. Learning Disability Quarterly, 40 (1), 41-53. 12 s.</w:t>
      </w:r>
    </w:p>
    <w:p w14:paraId="3F5E3748" w14:textId="38B6C7ED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Egeberg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, E. (2012).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Flere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språk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flere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muligheter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. Oslo: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Cappelen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Damm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 AS. 240 s.</w:t>
      </w:r>
    </w:p>
    <w:p w14:paraId="4C619BE3" w14:textId="57209741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Eriksen, T.H.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Sajjad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, T.A. (2015). </w:t>
      </w:r>
      <w:r w:rsidRPr="000C19F8">
        <w:rPr>
          <w:rFonts w:ascii="Times New Roman" w:hAnsi="Times New Roman" w:cs="Times New Roman"/>
          <w:sz w:val="24"/>
          <w:szCs w:val="24"/>
        </w:rPr>
        <w:t xml:space="preserve">Kulturforskjeller i praksis, 6. utg. Oslo: Gyldendal Norsk Forlag.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>. 2, 3, 5, 7, 8, 9, 10, 11, 14 og 16, 133 s.</w:t>
      </w:r>
    </w:p>
    <w:p w14:paraId="1EAEA94B" w14:textId="18576F62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</w:rPr>
        <w:t>Genesee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Geva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Dressler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C. &amp; Kamil, M. (2006). </w:t>
      </w:r>
      <w:r w:rsidRPr="000C19F8">
        <w:rPr>
          <w:rFonts w:ascii="Times New Roman" w:hAnsi="Times New Roman" w:cs="Times New Roman"/>
          <w:sz w:val="24"/>
          <w:szCs w:val="24"/>
          <w:lang w:val="en-US"/>
        </w:rPr>
        <w:t>Synthesis: Cross-Linguistic Relationships. In D. August &amp; D. Shanahan (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>) (2006). Developing Literacy in Second-Language Learners, (pp. 153-174). Mahwah, NJ: Erlbaum and Washington, D.C.: Center for Applied Linguistics. (Available via Canvas)</w:t>
      </w:r>
    </w:p>
    <w:p w14:paraId="6336FC65" w14:textId="44D56EB2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Geva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, E. (2006). Learning to read in a second language: Research, implications, and recommendations for services. </w:t>
      </w:r>
      <w:r w:rsidRPr="000C19F8">
        <w:rPr>
          <w:rFonts w:ascii="Times New Roman" w:hAnsi="Times New Roman" w:cs="Times New Roman"/>
          <w:sz w:val="24"/>
          <w:szCs w:val="24"/>
        </w:rPr>
        <w:t xml:space="preserve">Encyclopedia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Development.Jávo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C. (2010). Kulturens betydning for oppdragelse og atferdsproblemer. Oslo: Universitetsforlaget.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 1-5. 170 s.</w:t>
      </w:r>
    </w:p>
    <w:p w14:paraId="20A330E5" w14:textId="38EA1400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Geva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, E., Massey-Garrison, A. A. (2013). A comparison of the language skills of ELLs and monolinguals who are poor decoders, poor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comprehenders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>, or normal readers. Journal of Learning Disabilities, 46, 387- 401.</w:t>
      </w:r>
    </w:p>
    <w:p w14:paraId="3C099965" w14:textId="074E0ED3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Lesaux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, N. K.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Kieffer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, M. J. (2010). Exploring sources </w:t>
      </w:r>
      <w:proofErr w:type="gramStart"/>
      <w:r w:rsidRPr="000C19F8">
        <w:rPr>
          <w:rFonts w:ascii="Times New Roman" w:hAnsi="Times New Roman" w:cs="Times New Roman"/>
          <w:sz w:val="24"/>
          <w:szCs w:val="24"/>
          <w:lang w:val="en-US"/>
        </w:rPr>
        <w:t>of  reading</w:t>
      </w:r>
      <w:proofErr w:type="gram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 comprehension difficulties among language minority learners and their classmates in early adolescence. American Educational Research Journal, 47(3), 596-632</w:t>
      </w:r>
    </w:p>
    <w:p w14:paraId="05B990D4" w14:textId="38DCDE2E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</w:rPr>
        <w:t>Lesaux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N. K.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Lipka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O.,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Siegel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L. S. (2006). </w:t>
      </w:r>
      <w:r w:rsidRPr="000C19F8">
        <w:rPr>
          <w:rFonts w:ascii="Times New Roman" w:hAnsi="Times New Roman" w:cs="Times New Roman"/>
          <w:sz w:val="24"/>
          <w:szCs w:val="24"/>
          <w:lang w:val="en-US"/>
        </w:rPr>
        <w:t>Investigating cognitive and linguistic abilities that influence the reading comprehension skills of children from diverse linguistic backgrounds. Reading and Writing, 19, 99-131.</w:t>
      </w:r>
    </w:p>
    <w:p w14:paraId="28D65E28" w14:textId="2A4F04E4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</w:rPr>
        <w:t>Lesaux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N. K.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Siegel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L. S. (2003). </w:t>
      </w:r>
      <w:r w:rsidRPr="000C19F8">
        <w:rPr>
          <w:rFonts w:ascii="Times New Roman" w:hAnsi="Times New Roman" w:cs="Times New Roman"/>
          <w:sz w:val="24"/>
          <w:szCs w:val="24"/>
          <w:lang w:val="en-US"/>
        </w:rPr>
        <w:t>The Development of Reading in Children Who Speak English as a Second Language. Developmental Psychology, Vol. 39, No. 6, 1005–1019</w:t>
      </w:r>
    </w:p>
    <w:p w14:paraId="7F3118C3" w14:textId="093A40A1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19F8">
        <w:rPr>
          <w:rFonts w:ascii="Times New Roman" w:hAnsi="Times New Roman" w:cs="Times New Roman"/>
          <w:sz w:val="24"/>
          <w:szCs w:val="24"/>
        </w:rPr>
        <w:t xml:space="preserve">Melby-Lervåg, M. &amp; Lervåg, A. (2011). </w:t>
      </w:r>
      <w:r w:rsidRPr="000C19F8">
        <w:rPr>
          <w:rFonts w:ascii="Times New Roman" w:hAnsi="Times New Roman" w:cs="Times New Roman"/>
          <w:sz w:val="24"/>
          <w:szCs w:val="24"/>
          <w:lang w:val="en-US"/>
        </w:rPr>
        <w:t>Cross-linguistic transfer of oral language, decoding, phonological awareness and reading comprehension: a meta-analysis of the correlational evidence. Journal of Research in Reading, 34(1), 114–135.</w:t>
      </w:r>
    </w:p>
    <w:p w14:paraId="3FB7E06B" w14:textId="1ACE0761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r w:rsidRPr="000C19F8">
        <w:rPr>
          <w:rFonts w:ascii="Times New Roman" w:hAnsi="Times New Roman" w:cs="Times New Roman"/>
          <w:sz w:val="24"/>
          <w:szCs w:val="24"/>
        </w:rPr>
        <w:t>Melby-Lervåg, M. &amp; Lervåg, A. (2011). Hvilken betydning har morsmålsferdigheter for utviklingen av leseforståelse og dets underliggende komponenter på andrespråket? Norsk Pedagogisk Tidsskrift, 9, 330-443. 12 s. Last ned</w:t>
      </w:r>
    </w:p>
    <w:p w14:paraId="26D9E751" w14:textId="6CFDD220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r w:rsidRPr="000C19F8">
        <w:rPr>
          <w:rFonts w:ascii="Times New Roman" w:hAnsi="Times New Roman" w:cs="Times New Roman"/>
          <w:sz w:val="24"/>
          <w:szCs w:val="24"/>
        </w:rPr>
        <w:t xml:space="preserve">Morken, </w:t>
      </w:r>
      <w:proofErr w:type="gramStart"/>
      <w:r w:rsidRPr="000C19F8">
        <w:rPr>
          <w:rFonts w:ascii="Times New Roman" w:hAnsi="Times New Roman" w:cs="Times New Roman"/>
          <w:sz w:val="24"/>
          <w:szCs w:val="24"/>
        </w:rPr>
        <w:t>I.(</w:t>
      </w:r>
      <w:proofErr w:type="gramEnd"/>
      <w:r w:rsidRPr="000C19F8">
        <w:rPr>
          <w:rFonts w:ascii="Times New Roman" w:hAnsi="Times New Roman" w:cs="Times New Roman"/>
          <w:sz w:val="24"/>
          <w:szCs w:val="24"/>
        </w:rPr>
        <w:t xml:space="preserve">2012). Migrasjonsrelaterte lærevansker. </w:t>
      </w:r>
      <w:proofErr w:type="gramStart"/>
      <w:r w:rsidRPr="000C19F8">
        <w:rPr>
          <w:rFonts w:ascii="Times New Roman" w:hAnsi="Times New Roman" w:cs="Times New Roman"/>
          <w:sz w:val="24"/>
          <w:szCs w:val="24"/>
        </w:rPr>
        <w:t>I:E.Befring</w:t>
      </w:r>
      <w:proofErr w:type="gramEnd"/>
      <w:r w:rsidRPr="000C19F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R.Tangen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 (red.), Spesialpedagogikk. Oslo: Cappelen Damm Akademisk.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>. 26, s. 522-537, 15 s.</w:t>
      </w:r>
    </w:p>
    <w:p w14:paraId="108BCCEB" w14:textId="77777777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</w:p>
    <w:p w14:paraId="5E411994" w14:textId="77777777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r w:rsidRPr="000C19F8">
        <w:rPr>
          <w:rFonts w:ascii="Times New Roman" w:hAnsi="Times New Roman" w:cs="Times New Roman"/>
          <w:sz w:val="24"/>
          <w:szCs w:val="24"/>
        </w:rPr>
        <w:t xml:space="preserve">Raundalen, M. &amp; Schultz, J-H. (2006). Krisepedagogikk. Oslo: Universitetsforlaget.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>. 1,2,4,7 og 8. 108 s.</w:t>
      </w:r>
    </w:p>
    <w:p w14:paraId="629B8AEB" w14:textId="6073172D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r w:rsidRPr="000C19F8">
        <w:rPr>
          <w:rFonts w:ascii="Times New Roman" w:hAnsi="Times New Roman" w:cs="Times New Roman"/>
          <w:sz w:val="24"/>
          <w:szCs w:val="24"/>
        </w:rPr>
        <w:t xml:space="preserve">Sand, T. (red.) (2008). Flerkulturell virkelighet i skole og samfunn, 2. utg. Oslo: Cappelen Akademisk Forlag.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>. 1,2 ,6,7 og 8. 103 s.</w:t>
      </w:r>
    </w:p>
    <w:p w14:paraId="55DE9E1C" w14:textId="3A4CF56F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</w:rPr>
        <w:t>Selj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E. &amp; Ryen, E. (red.) (2008). Med språklige minoriteter i klassen, Oslo: Cappelen Akademisk Forlag. </w:t>
      </w:r>
      <w:r w:rsidRPr="000C19F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>. 1</w:t>
      </w:r>
      <w:proofErr w:type="gramStart"/>
      <w:r w:rsidRPr="000C19F8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, 4,5,6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 8-13). 195 s.</w:t>
      </w:r>
    </w:p>
    <w:p w14:paraId="212EA67D" w14:textId="3570863B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Vukovic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, R. K.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  <w:lang w:val="en-US"/>
        </w:rPr>
        <w:t>Lesaux</w:t>
      </w:r>
      <w:proofErr w:type="spellEnd"/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, N. K. (2013). The language of mathematics: Investigating the ways language counts for children's mathematical development. </w:t>
      </w:r>
      <w:r w:rsidRPr="000C19F8">
        <w:rPr>
          <w:rFonts w:ascii="Times New Roman" w:hAnsi="Times New Roman" w:cs="Times New Roman"/>
          <w:sz w:val="24"/>
          <w:szCs w:val="24"/>
        </w:rPr>
        <w:t xml:space="preserve">Journal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 Child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>, 115. 227-244. 17 s.</w:t>
      </w:r>
    </w:p>
    <w:p w14:paraId="78C2DAA2" w14:textId="38DA5648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r w:rsidRPr="000C19F8">
        <w:rPr>
          <w:rFonts w:ascii="Times New Roman" w:hAnsi="Times New Roman" w:cs="Times New Roman"/>
          <w:sz w:val="24"/>
          <w:szCs w:val="24"/>
        </w:rPr>
        <w:t xml:space="preserve">Wagner, K.H.,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Strömqvist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S.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Uppstad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P.U. (2008): Det flerspråklige mennesket, Bergen: Fagbokforlaget.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>. 1-5 og 11-13, 201 s.</w:t>
      </w:r>
    </w:p>
    <w:p w14:paraId="50AE6FDE" w14:textId="2B2CE19F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</w:rPr>
        <w:t>Øzerk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M.R.: Rådgivning til minoritetsspråklige foreldre fra et multikulturelt perspektiv. Skolepsykologen,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 5, (2005). 16 s. Last ned</w:t>
      </w:r>
    </w:p>
    <w:p w14:paraId="480E199F" w14:textId="73D865F4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</w:rPr>
        <w:t>Øzerk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M.R.,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Handorff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 J.A.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Øzerk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K. (2011). </w:t>
      </w:r>
      <w:r w:rsidRPr="000C19F8">
        <w:rPr>
          <w:rFonts w:ascii="Times New Roman" w:hAnsi="Times New Roman" w:cs="Times New Roman"/>
          <w:sz w:val="24"/>
          <w:szCs w:val="24"/>
          <w:lang w:val="en-US"/>
        </w:rPr>
        <w:t xml:space="preserve">Assessment of bilingual children with inattention, over activity and impulsivity – Challenges and solutions. International Electronic Journal of Elementary Education 3, s. 193-212. 18 s. Last </w:t>
      </w:r>
      <w:proofErr w:type="spellStart"/>
      <w:proofErr w:type="gramStart"/>
      <w:r w:rsidRPr="000C19F8">
        <w:rPr>
          <w:rFonts w:ascii="Times New Roman" w:hAnsi="Times New Roman" w:cs="Times New Roman"/>
          <w:sz w:val="24"/>
          <w:szCs w:val="24"/>
          <w:lang w:val="en-US"/>
        </w:rPr>
        <w:t>ned</w:t>
      </w:r>
      <w:proofErr w:type="spellEnd"/>
      <w:proofErr w:type="gramEnd"/>
    </w:p>
    <w:p w14:paraId="0BD0BDF0" w14:textId="4FCC2FA2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r w:rsidRPr="000C19F8">
        <w:rPr>
          <w:rFonts w:ascii="Times New Roman" w:hAnsi="Times New Roman" w:cs="Times New Roman"/>
          <w:sz w:val="24"/>
          <w:szCs w:val="24"/>
        </w:rPr>
        <w:t xml:space="preserve">Wagner, K.H.,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Strömqvist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S. &amp;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Uppstad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P.U. (2008): Det flerspråklige mennesket, Bergen: Fagbokforlaget.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>. 1-5 og 11-13, 201 s.</w:t>
      </w:r>
    </w:p>
    <w:p w14:paraId="1DE46B3F" w14:textId="674C4C91" w:rsidR="000C19F8" w:rsidRPr="000C19F8" w:rsidRDefault="000C19F8" w:rsidP="000C19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9F8">
        <w:rPr>
          <w:rFonts w:ascii="Times New Roman" w:hAnsi="Times New Roman" w:cs="Times New Roman"/>
          <w:sz w:val="24"/>
          <w:szCs w:val="24"/>
        </w:rPr>
        <w:t>Øzerk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, M.R.: Rådgivning til minoritetsspråklige foreldre fra et multikulturelt perspektiv. Skolepsykologen, </w:t>
      </w:r>
      <w:proofErr w:type="spellStart"/>
      <w:r w:rsidRPr="000C19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C19F8">
        <w:rPr>
          <w:rFonts w:ascii="Times New Roman" w:hAnsi="Times New Roman" w:cs="Times New Roman"/>
          <w:sz w:val="24"/>
          <w:szCs w:val="24"/>
        </w:rPr>
        <w:t xml:space="preserve"> 5, (2005). 16 s. Last ned</w:t>
      </w:r>
    </w:p>
    <w:p w14:paraId="65D00E15" w14:textId="75223409" w:rsidR="000C19F8" w:rsidRPr="000C19F8" w:rsidRDefault="000C19F8" w:rsidP="000C19F8">
      <w:pPr>
        <w:rPr>
          <w:sz w:val="24"/>
          <w:szCs w:val="24"/>
        </w:rPr>
      </w:pPr>
      <w:proofErr w:type="spellStart"/>
      <w:r w:rsidRPr="000C19F8">
        <w:rPr>
          <w:sz w:val="24"/>
          <w:szCs w:val="24"/>
        </w:rPr>
        <w:t>Øzerk</w:t>
      </w:r>
      <w:proofErr w:type="spellEnd"/>
      <w:r w:rsidRPr="000C19F8">
        <w:rPr>
          <w:sz w:val="24"/>
          <w:szCs w:val="24"/>
        </w:rPr>
        <w:t xml:space="preserve">, M.R., </w:t>
      </w:r>
      <w:proofErr w:type="spellStart"/>
      <w:r w:rsidRPr="000C19F8">
        <w:rPr>
          <w:sz w:val="24"/>
          <w:szCs w:val="24"/>
        </w:rPr>
        <w:t>Handorff</w:t>
      </w:r>
      <w:proofErr w:type="spellEnd"/>
      <w:r w:rsidRPr="000C19F8">
        <w:rPr>
          <w:sz w:val="24"/>
          <w:szCs w:val="24"/>
        </w:rPr>
        <w:t xml:space="preserve"> J.A. &amp; </w:t>
      </w:r>
      <w:proofErr w:type="spellStart"/>
      <w:r w:rsidRPr="000C19F8">
        <w:rPr>
          <w:sz w:val="24"/>
          <w:szCs w:val="24"/>
        </w:rPr>
        <w:t>Øzerk</w:t>
      </w:r>
      <w:proofErr w:type="spellEnd"/>
      <w:r w:rsidRPr="000C19F8">
        <w:rPr>
          <w:sz w:val="24"/>
          <w:szCs w:val="24"/>
        </w:rPr>
        <w:t xml:space="preserve">, K. (2011). </w:t>
      </w:r>
      <w:r w:rsidRPr="000C19F8">
        <w:rPr>
          <w:sz w:val="24"/>
          <w:szCs w:val="24"/>
          <w:lang w:val="en-US"/>
        </w:rPr>
        <w:t xml:space="preserve">Assessment of bilingual children with inattention, over activity and impulsivity – Challenges and solutions. </w:t>
      </w:r>
      <w:r w:rsidRPr="000C19F8">
        <w:rPr>
          <w:sz w:val="24"/>
          <w:szCs w:val="24"/>
        </w:rPr>
        <w:t xml:space="preserve">International Electronic Journal </w:t>
      </w:r>
      <w:proofErr w:type="spellStart"/>
      <w:r w:rsidRPr="000C19F8">
        <w:rPr>
          <w:sz w:val="24"/>
          <w:szCs w:val="24"/>
        </w:rPr>
        <w:t>of</w:t>
      </w:r>
      <w:proofErr w:type="spellEnd"/>
      <w:r w:rsidRPr="000C19F8">
        <w:rPr>
          <w:sz w:val="24"/>
          <w:szCs w:val="24"/>
        </w:rPr>
        <w:t xml:space="preserve"> </w:t>
      </w:r>
      <w:proofErr w:type="spellStart"/>
      <w:r w:rsidRPr="000C19F8">
        <w:rPr>
          <w:sz w:val="24"/>
          <w:szCs w:val="24"/>
        </w:rPr>
        <w:t>Elementary</w:t>
      </w:r>
      <w:proofErr w:type="spellEnd"/>
      <w:r w:rsidRPr="000C19F8">
        <w:rPr>
          <w:sz w:val="24"/>
          <w:szCs w:val="24"/>
        </w:rPr>
        <w:t xml:space="preserve"> </w:t>
      </w:r>
      <w:proofErr w:type="spellStart"/>
      <w:r w:rsidRPr="000C19F8">
        <w:rPr>
          <w:sz w:val="24"/>
          <w:szCs w:val="24"/>
        </w:rPr>
        <w:t>Education</w:t>
      </w:r>
      <w:proofErr w:type="spellEnd"/>
      <w:r w:rsidRPr="000C19F8">
        <w:rPr>
          <w:sz w:val="24"/>
          <w:szCs w:val="24"/>
        </w:rPr>
        <w:t xml:space="preserve"> 3, s. 193-212. 18 s. Last ned</w:t>
      </w:r>
    </w:p>
    <w:p w14:paraId="4E22DB20" w14:textId="77777777" w:rsidR="000C19F8" w:rsidRDefault="000C19F8" w:rsidP="00686C59">
      <w:pPr>
        <w:rPr>
          <w:b/>
          <w:sz w:val="24"/>
          <w:szCs w:val="24"/>
        </w:rPr>
      </w:pPr>
    </w:p>
    <w:p w14:paraId="099C84B3" w14:textId="77777777" w:rsidR="000C19F8" w:rsidRDefault="000C19F8" w:rsidP="00686C59">
      <w:pPr>
        <w:rPr>
          <w:b/>
          <w:sz w:val="24"/>
          <w:szCs w:val="24"/>
        </w:rPr>
      </w:pPr>
    </w:p>
    <w:p w14:paraId="77F7BCFA" w14:textId="2B6802F4" w:rsidR="00B350E2" w:rsidRPr="00B350E2" w:rsidRDefault="00152A2A" w:rsidP="00B350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 1 </w:t>
      </w:r>
      <w:r w:rsidR="005A0584" w:rsidRPr="00B350E2">
        <w:rPr>
          <w:rFonts w:ascii="Times New Roman" w:hAnsi="Times New Roman" w:cs="Times New Roman"/>
          <w:b/>
          <w:sz w:val="28"/>
          <w:szCs w:val="28"/>
        </w:rPr>
        <w:t>Forelesninger</w:t>
      </w:r>
      <w:r w:rsidR="00B350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350E2" w:rsidRPr="00B35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0E2" w:rsidRPr="00B350E2">
        <w:rPr>
          <w:rFonts w:ascii="Times New Roman" w:hAnsi="Times New Roman" w:cs="Times New Roman"/>
          <w:b/>
          <w:sz w:val="28"/>
          <w:szCs w:val="28"/>
        </w:rPr>
        <w:t>Psykososiale vansker og personlighetsutvikling</w:t>
      </w:r>
    </w:p>
    <w:p w14:paraId="1EC847AF" w14:textId="2DB1647F" w:rsidR="00686C59" w:rsidRPr="00686C59" w:rsidRDefault="00686C59" w:rsidP="00686C59">
      <w:r w:rsidRPr="00686C59">
        <w:t>ma. 14. jan.</w:t>
      </w:r>
      <w:r w:rsidRPr="00686C59">
        <w:tab/>
        <w:t>12:15–14:00</w:t>
      </w:r>
      <w:r w:rsidRPr="00686C59">
        <w:tab/>
        <w:t>Introduksjon til psykos</w:t>
      </w:r>
      <w:r>
        <w:t xml:space="preserve">osiale vansker Ogden kap. 1 og </w:t>
      </w:r>
      <w:proofErr w:type="gramStart"/>
      <w:r>
        <w:t>2;  Berg</w:t>
      </w:r>
      <w:proofErr w:type="gramEnd"/>
      <w:r>
        <w:t xml:space="preserve">, N.B.J. (2005) Kap.1; Bjørnebekk og Bjørnebekk, 2009; </w:t>
      </w:r>
      <w:proofErr w:type="spellStart"/>
      <w:r w:rsidRPr="00686C59">
        <w:t>Moffitt</w:t>
      </w:r>
      <w:proofErr w:type="spellEnd"/>
      <w:r w:rsidRPr="00686C59">
        <w:t xml:space="preserve"> (2006)</w:t>
      </w:r>
    </w:p>
    <w:p w14:paraId="6CD21CF6" w14:textId="34B5F512" w:rsidR="00686C59" w:rsidRPr="00686C59" w:rsidRDefault="00686C59" w:rsidP="00686C59">
      <w:r w:rsidRPr="00686C59">
        <w:t>ti. 15. jan.</w:t>
      </w:r>
      <w:r w:rsidRPr="00686C59">
        <w:tab/>
        <w:t>10:15–12:00</w:t>
      </w:r>
      <w:r w:rsidRPr="00686C59">
        <w:tab/>
        <w:t>Atferdsproblemer: Risiko og motstandsfaktorer i småbarnsalder. Forebyg</w:t>
      </w:r>
      <w:r>
        <w:t xml:space="preserve">ging og tiltak. Ogden, T. (2015): </w:t>
      </w:r>
      <w:proofErr w:type="spellStart"/>
      <w:r>
        <w:t>Kap</w:t>
      </w:r>
      <w:proofErr w:type="spellEnd"/>
      <w:r>
        <w:t xml:space="preserve"> 1, 2 og 3; </w:t>
      </w:r>
      <w:proofErr w:type="spellStart"/>
      <w:r w:rsidRPr="00686C59">
        <w:t>Killén</w:t>
      </w:r>
      <w:proofErr w:type="spellEnd"/>
      <w:r w:rsidRPr="00686C59">
        <w:t>, K. (2013): Del 1 og 2</w:t>
      </w:r>
    </w:p>
    <w:p w14:paraId="3BC2B731" w14:textId="43877CE5" w:rsidR="00686C59" w:rsidRPr="00686C59" w:rsidRDefault="00686C59" w:rsidP="00686C59">
      <w:r w:rsidRPr="00686C59">
        <w:t>fr. 18. jan.</w:t>
      </w:r>
      <w:r w:rsidRPr="00686C59">
        <w:tab/>
        <w:t>12:15–14:00</w:t>
      </w:r>
      <w:r w:rsidRPr="00686C59">
        <w:tab/>
        <w:t>Atferdsproblemer, risiko og motstandsfaktorer i skolealder. Forebygg</w:t>
      </w:r>
      <w:r>
        <w:t>ing og tiltak.</w:t>
      </w:r>
      <w:r>
        <w:tab/>
      </w:r>
      <w:r w:rsidRPr="00686C59">
        <w:t>Ogden, T. (2015) kap. 4, 5 og 7</w:t>
      </w:r>
    </w:p>
    <w:p w14:paraId="3E7A41B6" w14:textId="3FCF305D" w:rsidR="00686C59" w:rsidRPr="00686C59" w:rsidRDefault="00686C59" w:rsidP="00686C59">
      <w:r w:rsidRPr="00686C59">
        <w:lastRenderedPageBreak/>
        <w:t>ma. 21. jan.</w:t>
      </w:r>
      <w:r w:rsidRPr="00686C59">
        <w:tab/>
        <w:t>12:15–14:00</w:t>
      </w:r>
      <w:r w:rsidRPr="00686C59">
        <w:tab/>
        <w:t xml:space="preserve">Atferdsproblemer: Risiko og motstandsfaktorer i </w:t>
      </w:r>
      <w:proofErr w:type="spellStart"/>
      <w:r w:rsidRPr="00686C59">
        <w:t>ungdomssalder</w:t>
      </w:r>
      <w:proofErr w:type="spellEnd"/>
      <w:r w:rsidRPr="00686C59">
        <w:t>. Forebyg</w:t>
      </w:r>
      <w:r>
        <w:t xml:space="preserve">ging og tiltak. Ogden, T. (2015) kap. 7; </w:t>
      </w:r>
      <w:r w:rsidRPr="00686C59">
        <w:t>Damsgaard</w:t>
      </w:r>
      <w:r w:rsidR="004A2062">
        <w:t xml:space="preserve">, H.L. &amp; </w:t>
      </w:r>
      <w:proofErr w:type="spellStart"/>
      <w:r w:rsidR="004A2062">
        <w:t>Kokkersvold</w:t>
      </w:r>
      <w:proofErr w:type="spellEnd"/>
      <w:r w:rsidR="004A2062">
        <w:t xml:space="preserve">, E. (2011), Bjørnebekk og Bjørnebekk, 2009; </w:t>
      </w:r>
      <w:proofErr w:type="spellStart"/>
      <w:r w:rsidR="004A2062">
        <w:t>Moffitt</w:t>
      </w:r>
      <w:proofErr w:type="spellEnd"/>
      <w:r w:rsidR="004A2062">
        <w:t xml:space="preserve"> &amp; Scott, 2008; </w:t>
      </w:r>
      <w:proofErr w:type="spellStart"/>
      <w:r w:rsidRPr="00686C59">
        <w:t>Moffitt</w:t>
      </w:r>
      <w:proofErr w:type="spellEnd"/>
      <w:r w:rsidRPr="00686C59">
        <w:t xml:space="preserve"> 2018</w:t>
      </w:r>
    </w:p>
    <w:p w14:paraId="2F311C68" w14:textId="0A7F2B17" w:rsidR="00686C59" w:rsidRPr="00686C59" w:rsidRDefault="00686C59" w:rsidP="00686C59">
      <w:r w:rsidRPr="00686C59">
        <w:t>ti. 22. jan.</w:t>
      </w:r>
      <w:r w:rsidRPr="00686C59">
        <w:tab/>
        <w:t>10:15–12:00</w:t>
      </w:r>
      <w:r w:rsidRPr="00686C59">
        <w:tab/>
        <w:t>Antisosial (dyssosial) personlighetsforstyrrelse Forklaring, forebyg</w:t>
      </w:r>
      <w:r w:rsidR="004A2062">
        <w:t xml:space="preserve">ging og tiltak. </w:t>
      </w:r>
      <w:r w:rsidRPr="00686C59">
        <w:t xml:space="preserve">Larsen, R., D. Buss, A. </w:t>
      </w:r>
      <w:proofErr w:type="spellStart"/>
      <w:r w:rsidRPr="00686C59">
        <w:t>W</w:t>
      </w:r>
      <w:r w:rsidR="004A2062">
        <w:t>ismejer</w:t>
      </w:r>
      <w:proofErr w:type="spellEnd"/>
      <w:r w:rsidR="004A2062">
        <w:t xml:space="preserve"> &amp; J. Song (2017) kap.19; Ogden, T. (2015) kap. 7; Berg, N.B.J. (2005) del 2 kap.8; </w:t>
      </w:r>
      <w:r w:rsidR="004A2062" w:rsidRPr="004A2062">
        <w:t>Bjørnebekk og Bjørnebekk, 2009</w:t>
      </w:r>
    </w:p>
    <w:p w14:paraId="496A3655" w14:textId="4BA4D9E3" w:rsidR="00686C59" w:rsidRPr="00686C59" w:rsidRDefault="00686C59" w:rsidP="00686C59">
      <w:r w:rsidRPr="00686C59">
        <w:t>on. 23. jan.</w:t>
      </w:r>
      <w:r w:rsidRPr="00686C59">
        <w:tab/>
        <w:t>12:15–14:00</w:t>
      </w:r>
      <w:r w:rsidRPr="00686C59">
        <w:tab/>
        <w:t xml:space="preserve">Psykisk </w:t>
      </w:r>
      <w:r w:rsidR="004A2062">
        <w:t xml:space="preserve">helse i skolen. </w:t>
      </w:r>
      <w:r w:rsidRPr="00686C59">
        <w:t xml:space="preserve">Berg, N.B.J. (2005) </w:t>
      </w:r>
      <w:proofErr w:type="spellStart"/>
      <w:r w:rsidRPr="00686C59">
        <w:t>kap</w:t>
      </w:r>
      <w:proofErr w:type="spellEnd"/>
      <w:r w:rsidRPr="00686C59">
        <w:t xml:space="preserve"> 3, 4, 5</w:t>
      </w:r>
    </w:p>
    <w:p w14:paraId="442C3D84" w14:textId="2D20962A" w:rsidR="00686C59" w:rsidRPr="00686C59" w:rsidRDefault="00686C59" w:rsidP="00686C59">
      <w:r w:rsidRPr="00686C59">
        <w:t>ma. 28. jan.</w:t>
      </w:r>
      <w:r w:rsidRPr="00686C59">
        <w:tab/>
        <w:t>12:15–14:00</w:t>
      </w:r>
      <w:r w:rsidRPr="00686C59">
        <w:tab/>
        <w:t>Oppsummering Psykos</w:t>
      </w:r>
      <w:r w:rsidR="004A2062">
        <w:t>osiale vansker</w:t>
      </w:r>
      <w:r w:rsidR="004A2062">
        <w:tab/>
      </w:r>
    </w:p>
    <w:p w14:paraId="26371E66" w14:textId="79B063ED" w:rsidR="00686C59" w:rsidRPr="00686C59" w:rsidRDefault="00686C59" w:rsidP="00686C59">
      <w:r w:rsidRPr="00686C59">
        <w:t>ti. 29. jan.</w:t>
      </w:r>
      <w:r w:rsidRPr="00686C59">
        <w:tab/>
        <w:t>10:15–12:00</w:t>
      </w:r>
      <w:r w:rsidRPr="00686C59">
        <w:tab/>
        <w:t>Introduksjon Personli</w:t>
      </w:r>
      <w:r w:rsidR="004A2062">
        <w:t xml:space="preserve">ghetspsykologi. </w:t>
      </w:r>
      <w:r w:rsidRPr="00686C59">
        <w:t xml:space="preserve">Larsen, R., D. Buss, A. </w:t>
      </w:r>
      <w:proofErr w:type="spellStart"/>
      <w:r w:rsidRPr="00686C59">
        <w:t>Wismejer</w:t>
      </w:r>
      <w:proofErr w:type="spellEnd"/>
      <w:r w:rsidRPr="00686C59">
        <w:t xml:space="preserve"> &amp; J. Song (2017). </w:t>
      </w:r>
      <w:proofErr w:type="spellStart"/>
      <w:r w:rsidRPr="00686C59">
        <w:t>kap</w:t>
      </w:r>
      <w:proofErr w:type="spellEnd"/>
      <w:r w:rsidRPr="00686C59">
        <w:t xml:space="preserve"> 1, 3</w:t>
      </w:r>
    </w:p>
    <w:p w14:paraId="1641B7A9" w14:textId="0E47ACB7" w:rsidR="00686C59" w:rsidRPr="00686C59" w:rsidRDefault="00686C59" w:rsidP="00686C59">
      <w:r w:rsidRPr="00686C59">
        <w:t>to. 31. jan.</w:t>
      </w:r>
      <w:r w:rsidRPr="00686C59">
        <w:tab/>
        <w:t>12:15–14:00</w:t>
      </w:r>
      <w:r w:rsidRPr="00686C59">
        <w:tab/>
        <w:t>Mestringsmotivasjon: Motiv o</w:t>
      </w:r>
      <w:r w:rsidR="004A2062">
        <w:t xml:space="preserve">g personlighet. </w:t>
      </w:r>
      <w:r w:rsidRPr="00686C59">
        <w:t xml:space="preserve">Larsen, R., D. Buss, A. </w:t>
      </w:r>
      <w:proofErr w:type="spellStart"/>
      <w:r w:rsidRPr="00686C59">
        <w:t>Wismejer</w:t>
      </w:r>
      <w:proofErr w:type="spellEnd"/>
      <w:r w:rsidRPr="00686C59">
        <w:t xml:space="preserve"> &amp; J. Song (2017) kap.10 og 11</w:t>
      </w:r>
    </w:p>
    <w:p w14:paraId="589F0195" w14:textId="6EB99463" w:rsidR="00686C59" w:rsidRPr="00686C59" w:rsidRDefault="00686C59" w:rsidP="00686C59">
      <w:r w:rsidRPr="00686C59">
        <w:t>ma. 4. feb.</w:t>
      </w:r>
      <w:r w:rsidRPr="00686C59">
        <w:tab/>
        <w:t>12:15–14:00</w:t>
      </w:r>
      <w:r w:rsidRPr="00686C59">
        <w:tab/>
        <w:t>Personlighet og kognisjon: Målorienteringer og for</w:t>
      </w:r>
      <w:r w:rsidR="004A2062">
        <w:t>klaringsstiler</w:t>
      </w:r>
      <w:r w:rsidR="004A2062">
        <w:tab/>
      </w:r>
      <w:r w:rsidRPr="00686C59">
        <w:t xml:space="preserve">Larsen, R., D. Buss, A. </w:t>
      </w:r>
      <w:proofErr w:type="spellStart"/>
      <w:r w:rsidRPr="00686C59">
        <w:t>Wismejer</w:t>
      </w:r>
      <w:proofErr w:type="spellEnd"/>
      <w:r w:rsidRPr="00686C59">
        <w:t xml:space="preserve"> &amp; J. Song (2017) kap.11</w:t>
      </w:r>
    </w:p>
    <w:p w14:paraId="5C8C3EA2" w14:textId="607E84BC" w:rsidR="00686C59" w:rsidRPr="00686C59" w:rsidRDefault="00686C59" w:rsidP="00686C59">
      <w:r w:rsidRPr="00686C59">
        <w:t>ti. 5. feb.</w:t>
      </w:r>
      <w:r w:rsidRPr="00686C59">
        <w:tab/>
        <w:t>10:15–12:00</w:t>
      </w:r>
      <w:r w:rsidRPr="00686C59">
        <w:tab/>
        <w:t>Sosial kogn</w:t>
      </w:r>
      <w:r w:rsidR="004A2062">
        <w:t xml:space="preserve">itive modeller. </w:t>
      </w:r>
      <w:r w:rsidRPr="00686C59">
        <w:t xml:space="preserve">Larsen, R., D. Buss, A. </w:t>
      </w:r>
      <w:proofErr w:type="spellStart"/>
      <w:r w:rsidRPr="00686C59">
        <w:t>Wismejer</w:t>
      </w:r>
      <w:proofErr w:type="spellEnd"/>
      <w:r w:rsidRPr="00686C59">
        <w:t xml:space="preserve"> &amp; J. Song (2017) kap.10-11</w:t>
      </w:r>
    </w:p>
    <w:p w14:paraId="7416D18A" w14:textId="70B71A5A" w:rsidR="00686C59" w:rsidRPr="00686C59" w:rsidRDefault="00686C59" w:rsidP="00686C59">
      <w:r w:rsidRPr="00686C59">
        <w:t>to. 7. feb.</w:t>
      </w:r>
      <w:r w:rsidRPr="00686C59">
        <w:tab/>
        <w:t>12:15–14:00</w:t>
      </w:r>
      <w:r w:rsidRPr="00686C59">
        <w:tab/>
        <w:t xml:space="preserve">Humanistisk psykologi – autonomi, kompetanse </w:t>
      </w:r>
      <w:r w:rsidR="004A2062">
        <w:t xml:space="preserve">og tilhørighet. </w:t>
      </w:r>
      <w:r w:rsidRPr="00686C59">
        <w:t xml:space="preserve">Larsen, R., D. Buss, A. </w:t>
      </w:r>
      <w:proofErr w:type="spellStart"/>
      <w:r w:rsidRPr="00686C59">
        <w:t>Wismejer</w:t>
      </w:r>
      <w:proofErr w:type="spellEnd"/>
      <w:r w:rsidRPr="00686C59">
        <w:t xml:space="preserve"> &amp; J. Song (2017) kap.10</w:t>
      </w:r>
    </w:p>
    <w:p w14:paraId="1128C396" w14:textId="3B7AEAC7" w:rsidR="00686C59" w:rsidRPr="00686C59" w:rsidRDefault="00686C59" w:rsidP="00686C59">
      <w:r w:rsidRPr="00686C59">
        <w:t>ma. 11. feb.</w:t>
      </w:r>
      <w:r w:rsidRPr="00686C59">
        <w:tab/>
        <w:t>12:15–14:00</w:t>
      </w:r>
      <w:r w:rsidRPr="00686C59">
        <w:tab/>
        <w:t>Emosjon o</w:t>
      </w:r>
      <w:r w:rsidR="004A2062">
        <w:t xml:space="preserve">g personlighet. </w:t>
      </w:r>
      <w:r w:rsidRPr="00686C59">
        <w:t xml:space="preserve">Larsen, R., D. Buss, A. </w:t>
      </w:r>
      <w:proofErr w:type="spellStart"/>
      <w:r w:rsidRPr="00686C59">
        <w:t>Wismejer</w:t>
      </w:r>
      <w:proofErr w:type="spellEnd"/>
      <w:r w:rsidRPr="00686C59">
        <w:t xml:space="preserve"> &amp; J. Song (2017) kap.13</w:t>
      </w:r>
    </w:p>
    <w:p w14:paraId="73B39B90" w14:textId="758DA656" w:rsidR="00686C59" w:rsidRPr="00686C59" w:rsidRDefault="00686C59" w:rsidP="00686C59">
      <w:r w:rsidRPr="00686C59">
        <w:t>ti. 12. feb.</w:t>
      </w:r>
      <w:r w:rsidRPr="00686C59">
        <w:tab/>
        <w:t>10:15–12:00</w:t>
      </w:r>
      <w:r w:rsidRPr="00686C59">
        <w:tab/>
        <w:t>Personlighet, stress og menta</w:t>
      </w:r>
      <w:r w:rsidR="004A2062">
        <w:t xml:space="preserve">l/fysisk helse. </w:t>
      </w:r>
      <w:r w:rsidRPr="00686C59">
        <w:t xml:space="preserve">Larsen, R., D. Buss, A. </w:t>
      </w:r>
      <w:proofErr w:type="spellStart"/>
      <w:r w:rsidRPr="00686C59">
        <w:t>Wismejer</w:t>
      </w:r>
      <w:proofErr w:type="spellEnd"/>
      <w:r w:rsidRPr="00686C59">
        <w:t xml:space="preserve"> &amp; J. Song (2017) kap.18</w:t>
      </w:r>
    </w:p>
    <w:p w14:paraId="122E8120" w14:textId="3FC0CFB4" w:rsidR="00686C59" w:rsidRDefault="00686C59" w:rsidP="00686C59">
      <w:r w:rsidRPr="00686C59">
        <w:t>to. 14. feb.</w:t>
      </w:r>
      <w:r w:rsidRPr="00686C59">
        <w:tab/>
        <w:t>12:15–14:00</w:t>
      </w:r>
      <w:r w:rsidRPr="00686C59">
        <w:tab/>
        <w:t>Oppsummering Personli</w:t>
      </w:r>
      <w:r w:rsidR="004A2062">
        <w:t>ghetspsykologi</w:t>
      </w:r>
      <w:r w:rsidR="004A2062">
        <w:tab/>
      </w:r>
    </w:p>
    <w:p w14:paraId="62ED03C1" w14:textId="601D5792" w:rsidR="00152A2A" w:rsidRDefault="00152A2A" w:rsidP="00686C59"/>
    <w:p w14:paraId="60B5750C" w14:textId="1E09FF07" w:rsidR="00152A2A" w:rsidRPr="00152A2A" w:rsidRDefault="00152A2A" w:rsidP="00686C59">
      <w:pPr>
        <w:rPr>
          <w:rFonts w:ascii="Times New Roman" w:hAnsi="Times New Roman" w:cs="Times New Roman"/>
          <w:b/>
          <w:sz w:val="32"/>
          <w:szCs w:val="32"/>
        </w:rPr>
      </w:pPr>
      <w:r w:rsidRPr="00152A2A">
        <w:rPr>
          <w:rFonts w:ascii="Times New Roman" w:hAnsi="Times New Roman" w:cs="Times New Roman"/>
          <w:b/>
          <w:sz w:val="32"/>
          <w:szCs w:val="32"/>
        </w:rPr>
        <w:t>Forelesninger del 2</w:t>
      </w:r>
    </w:p>
    <w:p w14:paraId="2FA86325" w14:textId="77777777" w:rsidR="00152A2A" w:rsidRDefault="00152A2A" w:rsidP="00152A2A">
      <w:r>
        <w:t xml:space="preserve">ti. 12. </w:t>
      </w:r>
      <w:proofErr w:type="spellStart"/>
      <w:r>
        <w:t>mar</w:t>
      </w:r>
      <w:proofErr w:type="spellEnd"/>
      <w:r>
        <w:t>.</w:t>
      </w:r>
      <w:r>
        <w:tab/>
        <w:t>10:15–12:00</w:t>
      </w:r>
      <w:r>
        <w:tab/>
        <w:t>Introduksjon til minoritets- og migrasjonsrelaterte lærevansker</w:t>
      </w:r>
      <w:r>
        <w:tab/>
        <w:t>HE Auditorium 3</w:t>
      </w:r>
      <w:r>
        <w:tab/>
      </w:r>
    </w:p>
    <w:p w14:paraId="552F3A99" w14:textId="15F96037" w:rsidR="00152A2A" w:rsidRDefault="00152A2A" w:rsidP="00152A2A">
      <w:r>
        <w:t>Morken, I. (2012): Migrasjonsrelaterte lærevansker. I Befring, E. og Tangen, R. (red.)</w:t>
      </w:r>
    </w:p>
    <w:p w14:paraId="56030103" w14:textId="105106AC" w:rsidR="00152A2A" w:rsidRDefault="00152A2A" w:rsidP="00152A2A">
      <w:r>
        <w:t xml:space="preserve">ma. 18. </w:t>
      </w:r>
      <w:proofErr w:type="spellStart"/>
      <w:r>
        <w:t>mar</w:t>
      </w:r>
      <w:proofErr w:type="spellEnd"/>
      <w:r>
        <w:t>.</w:t>
      </w:r>
      <w:r>
        <w:tab/>
        <w:t>12:15–14:00</w:t>
      </w:r>
      <w:r>
        <w:tab/>
        <w:t>Kultur identitet og mangfold</w:t>
      </w:r>
      <w:r>
        <w:tab/>
        <w:t>HE Auditorium 3</w:t>
      </w:r>
      <w:r>
        <w:tab/>
      </w:r>
    </w:p>
    <w:p w14:paraId="26E8656B" w14:textId="5052D8AE" w:rsidR="00152A2A" w:rsidRDefault="00152A2A" w:rsidP="00152A2A">
      <w:r>
        <w:t>Eriksen, T. H. &amp; Sajjad, T. A. (2015): Kulturforskjeller i skolen. Kap,.2, 3, 5, 7, 8, 9, 10, 11, 14, og16</w:t>
      </w:r>
    </w:p>
    <w:p w14:paraId="609AD1C7" w14:textId="354BF84E" w:rsidR="00152A2A" w:rsidRDefault="00152A2A" w:rsidP="00152A2A">
      <w:r>
        <w:t xml:space="preserve">ti. 19. </w:t>
      </w:r>
      <w:proofErr w:type="spellStart"/>
      <w:r>
        <w:t>mar</w:t>
      </w:r>
      <w:proofErr w:type="spellEnd"/>
      <w:r>
        <w:t>.</w:t>
      </w:r>
      <w:r>
        <w:tab/>
        <w:t>10:15–12:00</w:t>
      </w:r>
      <w:r>
        <w:tab/>
        <w:t>Innføring i</w:t>
      </w:r>
      <w:r>
        <w:t xml:space="preserve"> tospråklighet -</w:t>
      </w:r>
      <w:r>
        <w:t xml:space="preserve"> Wagner, K. H., </w:t>
      </w:r>
      <w:proofErr w:type="spellStart"/>
      <w:r>
        <w:t>Strömqvist</w:t>
      </w:r>
      <w:proofErr w:type="spellEnd"/>
      <w:r>
        <w:t xml:space="preserve">, S. &amp; </w:t>
      </w:r>
      <w:proofErr w:type="spellStart"/>
      <w:r>
        <w:t>Uppstad</w:t>
      </w:r>
      <w:proofErr w:type="spellEnd"/>
      <w:r>
        <w:t xml:space="preserve">, P. H. (2008) </w:t>
      </w:r>
      <w:proofErr w:type="spellStart"/>
      <w:r>
        <w:t>kap</w:t>
      </w:r>
      <w:proofErr w:type="spellEnd"/>
      <w:r>
        <w:t>. 1-5</w:t>
      </w:r>
    </w:p>
    <w:p w14:paraId="3E969CC2" w14:textId="4CC7E5F9" w:rsidR="00152A2A" w:rsidRDefault="00152A2A" w:rsidP="00152A2A">
      <w:r>
        <w:t xml:space="preserve">to. 21. </w:t>
      </w:r>
      <w:proofErr w:type="spellStart"/>
      <w:r>
        <w:t>mar</w:t>
      </w:r>
      <w:proofErr w:type="spellEnd"/>
      <w:r>
        <w:t>.</w:t>
      </w:r>
      <w:r>
        <w:tab/>
        <w:t>12:15–14:00</w:t>
      </w:r>
      <w:r>
        <w:tab/>
        <w:t>Minoritetsspråk og tidlig flersp</w:t>
      </w:r>
      <w:r>
        <w:t>råklig utvikling</w:t>
      </w:r>
      <w:r>
        <w:tab/>
      </w:r>
      <w:r>
        <w:t>J. Karlsen</w:t>
      </w:r>
    </w:p>
    <w:p w14:paraId="2153775B" w14:textId="53FEE63C" w:rsidR="00152A2A" w:rsidRDefault="00152A2A" w:rsidP="00152A2A">
      <w:r>
        <w:t xml:space="preserve">ma. 25. </w:t>
      </w:r>
      <w:proofErr w:type="spellStart"/>
      <w:r>
        <w:t>mar</w:t>
      </w:r>
      <w:proofErr w:type="spellEnd"/>
      <w:r>
        <w:t>.</w:t>
      </w:r>
      <w:r>
        <w:tab/>
        <w:t>12:15–14:00</w:t>
      </w:r>
      <w:r>
        <w:tab/>
        <w:t>Barnehage som spr</w:t>
      </w:r>
      <w:r>
        <w:t>åklæringsarena</w:t>
      </w:r>
      <w:r>
        <w:tab/>
      </w:r>
      <w:r>
        <w:t>J. Karlsen</w:t>
      </w:r>
    </w:p>
    <w:p w14:paraId="665DCED9" w14:textId="1F62FB6A" w:rsidR="00152A2A" w:rsidRPr="00152A2A" w:rsidRDefault="00152A2A" w:rsidP="00152A2A">
      <w:r>
        <w:t xml:space="preserve">ti. 26. </w:t>
      </w:r>
      <w:proofErr w:type="spellStart"/>
      <w:r>
        <w:t>mar</w:t>
      </w:r>
      <w:proofErr w:type="spellEnd"/>
      <w:r>
        <w:t>.</w:t>
      </w:r>
      <w:r>
        <w:tab/>
        <w:t>10:15–12:00</w:t>
      </w:r>
      <w:r>
        <w:tab/>
        <w:t>Utviklingshemming i et minori</w:t>
      </w:r>
      <w:r>
        <w:t xml:space="preserve">tetsperspektiv </w:t>
      </w:r>
      <w:r w:rsidRPr="00152A2A">
        <w:t>E. Egeberg</w:t>
      </w:r>
    </w:p>
    <w:p w14:paraId="33DD6AD0" w14:textId="0FD678BA" w:rsidR="00152A2A" w:rsidRPr="00152A2A" w:rsidRDefault="00152A2A" w:rsidP="00152A2A">
      <w:pPr>
        <w:rPr>
          <w:lang w:val="en-US"/>
        </w:rPr>
      </w:pPr>
      <w:proofErr w:type="gramStart"/>
      <w:r w:rsidRPr="00152A2A">
        <w:rPr>
          <w:lang w:val="en-US"/>
        </w:rPr>
        <w:t>to</w:t>
      </w:r>
      <w:proofErr w:type="gramEnd"/>
      <w:r w:rsidRPr="00152A2A">
        <w:rPr>
          <w:lang w:val="en-US"/>
        </w:rPr>
        <w:t xml:space="preserve">. 28. </w:t>
      </w:r>
      <w:proofErr w:type="gramStart"/>
      <w:r w:rsidRPr="00152A2A">
        <w:rPr>
          <w:lang w:val="en-US"/>
        </w:rPr>
        <w:t>mar</w:t>
      </w:r>
      <w:proofErr w:type="gramEnd"/>
      <w:r w:rsidRPr="00152A2A">
        <w:rPr>
          <w:lang w:val="en-US"/>
        </w:rPr>
        <w:t>.</w:t>
      </w:r>
      <w:r w:rsidRPr="00152A2A">
        <w:rPr>
          <w:lang w:val="en-US"/>
        </w:rPr>
        <w:tab/>
        <w:t>12:15–14:00</w:t>
      </w:r>
      <w:r w:rsidRPr="00152A2A">
        <w:rPr>
          <w:lang w:val="en-US"/>
        </w:rPr>
        <w:tab/>
        <w:t>Bilingual mathema</w:t>
      </w:r>
      <w:r>
        <w:rPr>
          <w:lang w:val="en-US"/>
        </w:rPr>
        <w:t>tical learners</w:t>
      </w:r>
      <w:r>
        <w:rPr>
          <w:lang w:val="en-US"/>
        </w:rPr>
        <w:tab/>
        <w:t xml:space="preserve"> </w:t>
      </w:r>
      <w:r w:rsidRPr="00152A2A">
        <w:rPr>
          <w:lang w:val="en-US"/>
        </w:rPr>
        <w:t xml:space="preserve">R. </w:t>
      </w:r>
      <w:proofErr w:type="spellStart"/>
      <w:r w:rsidRPr="00152A2A">
        <w:rPr>
          <w:lang w:val="en-US"/>
        </w:rPr>
        <w:t>Mononen</w:t>
      </w:r>
      <w:proofErr w:type="spellEnd"/>
    </w:p>
    <w:p w14:paraId="50576F33" w14:textId="77777777" w:rsidR="00152A2A" w:rsidRPr="00152A2A" w:rsidRDefault="00152A2A" w:rsidP="00152A2A">
      <w:pPr>
        <w:rPr>
          <w:lang w:val="en-US"/>
        </w:rPr>
      </w:pPr>
    </w:p>
    <w:p w14:paraId="6F864D0F" w14:textId="76D831C6" w:rsidR="00152A2A" w:rsidRDefault="00152A2A" w:rsidP="00152A2A">
      <w:r>
        <w:t>ti. 2. apr.</w:t>
      </w:r>
      <w:r>
        <w:tab/>
        <w:t>10:15–12:00</w:t>
      </w:r>
      <w:r>
        <w:tab/>
        <w:t>Dilemmaer, utredning minor</w:t>
      </w:r>
      <w:r>
        <w:t xml:space="preserve">itetsspråklige </w:t>
      </w:r>
      <w:r>
        <w:t>H. R. Straume</w:t>
      </w:r>
    </w:p>
    <w:p w14:paraId="0E47271F" w14:textId="77777777" w:rsidR="00152A2A" w:rsidRDefault="00152A2A" w:rsidP="00152A2A"/>
    <w:p w14:paraId="5BD26873" w14:textId="4AD2D0D3" w:rsidR="00152A2A" w:rsidRDefault="00152A2A" w:rsidP="00152A2A">
      <w:r>
        <w:t>ma. 8. apr.</w:t>
      </w:r>
      <w:r>
        <w:tab/>
        <w:t>12:15–14:00</w:t>
      </w:r>
      <w:r>
        <w:tab/>
        <w:t>Traumer og k</w:t>
      </w:r>
      <w:r>
        <w:t>risepedagogikk</w:t>
      </w:r>
      <w:r>
        <w:tab/>
      </w:r>
      <w:r>
        <w:t>I. Morken</w:t>
      </w:r>
    </w:p>
    <w:p w14:paraId="74EC33E4" w14:textId="14A1FC5B" w:rsidR="00152A2A" w:rsidRPr="00152A2A" w:rsidRDefault="00152A2A" w:rsidP="00152A2A">
      <w:proofErr w:type="spellStart"/>
      <w:r w:rsidRPr="00152A2A">
        <w:rPr>
          <w:lang w:val="en-US"/>
        </w:rPr>
        <w:t>Raundalen</w:t>
      </w:r>
      <w:proofErr w:type="spellEnd"/>
      <w:r w:rsidRPr="00152A2A">
        <w:rPr>
          <w:lang w:val="en-US"/>
        </w:rPr>
        <w:t xml:space="preserve">, M. &amp; Schultz, J-H. </w:t>
      </w:r>
      <w:r>
        <w:t xml:space="preserve">(2006). Krisepedagogikk.. </w:t>
      </w:r>
      <w:proofErr w:type="spellStart"/>
      <w:r w:rsidRPr="00152A2A">
        <w:t>Kap</w:t>
      </w:r>
      <w:proofErr w:type="spellEnd"/>
      <w:r w:rsidRPr="00152A2A">
        <w:t>. 1,2,4,7 og 8.</w:t>
      </w:r>
    </w:p>
    <w:p w14:paraId="7186EC1F" w14:textId="674A6FD6" w:rsidR="00152A2A" w:rsidRPr="00152A2A" w:rsidRDefault="00152A2A" w:rsidP="00152A2A">
      <w:pPr>
        <w:rPr>
          <w:lang w:val="en-US"/>
        </w:rPr>
      </w:pPr>
      <w:proofErr w:type="spellStart"/>
      <w:proofErr w:type="gramStart"/>
      <w:r w:rsidRPr="00152A2A">
        <w:rPr>
          <w:lang w:val="en-US"/>
        </w:rPr>
        <w:t>ti</w:t>
      </w:r>
      <w:proofErr w:type="spellEnd"/>
      <w:proofErr w:type="gramEnd"/>
      <w:r w:rsidRPr="00152A2A">
        <w:rPr>
          <w:lang w:val="en-US"/>
        </w:rPr>
        <w:t xml:space="preserve">. 9. </w:t>
      </w:r>
      <w:proofErr w:type="spellStart"/>
      <w:proofErr w:type="gramStart"/>
      <w:r w:rsidRPr="00152A2A">
        <w:rPr>
          <w:lang w:val="en-US"/>
        </w:rPr>
        <w:t>apr</w:t>
      </w:r>
      <w:proofErr w:type="gramEnd"/>
      <w:r w:rsidRPr="00152A2A">
        <w:rPr>
          <w:lang w:val="en-US"/>
        </w:rPr>
        <w:t>.</w:t>
      </w:r>
      <w:proofErr w:type="spellEnd"/>
      <w:r w:rsidRPr="00152A2A">
        <w:rPr>
          <w:lang w:val="en-US"/>
        </w:rPr>
        <w:tab/>
        <w:t>10:15–12:00</w:t>
      </w:r>
      <w:r w:rsidRPr="00152A2A">
        <w:rPr>
          <w:lang w:val="en-US"/>
        </w:rPr>
        <w:tab/>
        <w:t>Second language litera</w:t>
      </w:r>
      <w:r>
        <w:rPr>
          <w:lang w:val="en-US"/>
        </w:rPr>
        <w:t>cy development</w:t>
      </w:r>
      <w:r>
        <w:rPr>
          <w:lang w:val="en-US"/>
        </w:rPr>
        <w:tab/>
      </w:r>
      <w:r w:rsidRPr="00152A2A">
        <w:rPr>
          <w:lang w:val="en-US"/>
        </w:rPr>
        <w:t>S. v. Viersen</w:t>
      </w:r>
    </w:p>
    <w:p w14:paraId="157959CF" w14:textId="77777777" w:rsidR="00152A2A" w:rsidRPr="00152A2A" w:rsidRDefault="00152A2A" w:rsidP="00686C59">
      <w:pPr>
        <w:rPr>
          <w:lang w:val="en-US"/>
        </w:rPr>
      </w:pPr>
    </w:p>
    <w:p w14:paraId="65E34DA6" w14:textId="5C26B923" w:rsidR="00686C59" w:rsidRPr="00152A2A" w:rsidRDefault="00686C59" w:rsidP="00ED4A70">
      <w:pPr>
        <w:rPr>
          <w:lang w:val="en-US"/>
        </w:rPr>
      </w:pPr>
    </w:p>
    <w:p w14:paraId="549959C4" w14:textId="77777777" w:rsidR="00686C59" w:rsidRPr="00152A2A" w:rsidRDefault="00686C59" w:rsidP="00ED4A70">
      <w:pPr>
        <w:rPr>
          <w:lang w:val="en-US"/>
        </w:rPr>
      </w:pPr>
    </w:p>
    <w:p w14:paraId="065DA993" w14:textId="77777777" w:rsidR="00FA3556" w:rsidRPr="00152A2A" w:rsidRDefault="00FA3556" w:rsidP="00BE1668">
      <w:pPr>
        <w:rPr>
          <w:lang w:val="en-US"/>
        </w:rPr>
      </w:pPr>
    </w:p>
    <w:sectPr w:rsidR="00FA3556" w:rsidRPr="0015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9E9"/>
    <w:multiLevelType w:val="hybridMultilevel"/>
    <w:tmpl w:val="615440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6041"/>
    <w:multiLevelType w:val="hybridMultilevel"/>
    <w:tmpl w:val="BEE04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BA7"/>
    <w:multiLevelType w:val="hybridMultilevel"/>
    <w:tmpl w:val="30A0D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421"/>
    <w:multiLevelType w:val="hybridMultilevel"/>
    <w:tmpl w:val="C05C2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0C3B"/>
    <w:multiLevelType w:val="multilevel"/>
    <w:tmpl w:val="A6B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D02AB"/>
    <w:multiLevelType w:val="multilevel"/>
    <w:tmpl w:val="157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75851"/>
    <w:multiLevelType w:val="hybridMultilevel"/>
    <w:tmpl w:val="E8AED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096F"/>
    <w:multiLevelType w:val="hybridMultilevel"/>
    <w:tmpl w:val="4F6E9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2BD3"/>
    <w:multiLevelType w:val="hybridMultilevel"/>
    <w:tmpl w:val="F544DDE6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A682C"/>
    <w:multiLevelType w:val="hybridMultilevel"/>
    <w:tmpl w:val="1938BBB8"/>
    <w:lvl w:ilvl="0" w:tplc="9EF22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B2D"/>
    <w:multiLevelType w:val="multilevel"/>
    <w:tmpl w:val="CA02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9F7A79"/>
    <w:multiLevelType w:val="hybridMultilevel"/>
    <w:tmpl w:val="A26ED5B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39"/>
    <w:rsid w:val="00096C84"/>
    <w:rsid w:val="000B2A93"/>
    <w:rsid w:val="000C19F8"/>
    <w:rsid w:val="00102801"/>
    <w:rsid w:val="00123B35"/>
    <w:rsid w:val="00152A2A"/>
    <w:rsid w:val="00272D9F"/>
    <w:rsid w:val="0029110F"/>
    <w:rsid w:val="002B471A"/>
    <w:rsid w:val="002F5C9F"/>
    <w:rsid w:val="00372939"/>
    <w:rsid w:val="00375C55"/>
    <w:rsid w:val="00377B43"/>
    <w:rsid w:val="004437D9"/>
    <w:rsid w:val="0049020D"/>
    <w:rsid w:val="004A2062"/>
    <w:rsid w:val="004F168B"/>
    <w:rsid w:val="005A0584"/>
    <w:rsid w:val="005B7320"/>
    <w:rsid w:val="00625328"/>
    <w:rsid w:val="00686C59"/>
    <w:rsid w:val="006A4DE2"/>
    <w:rsid w:val="006A7FB2"/>
    <w:rsid w:val="00793BCC"/>
    <w:rsid w:val="007B51EA"/>
    <w:rsid w:val="007B5722"/>
    <w:rsid w:val="007F2543"/>
    <w:rsid w:val="00825D61"/>
    <w:rsid w:val="008B0587"/>
    <w:rsid w:val="009170DF"/>
    <w:rsid w:val="00991ABF"/>
    <w:rsid w:val="009A7E08"/>
    <w:rsid w:val="00AB7F02"/>
    <w:rsid w:val="00B01793"/>
    <w:rsid w:val="00B350E2"/>
    <w:rsid w:val="00BE1668"/>
    <w:rsid w:val="00C02A07"/>
    <w:rsid w:val="00C717DD"/>
    <w:rsid w:val="00CA55A1"/>
    <w:rsid w:val="00D0421A"/>
    <w:rsid w:val="00D403D9"/>
    <w:rsid w:val="00D83307"/>
    <w:rsid w:val="00DD71B1"/>
    <w:rsid w:val="00E65389"/>
    <w:rsid w:val="00ED1B1A"/>
    <w:rsid w:val="00ED4A70"/>
    <w:rsid w:val="00EF00E1"/>
    <w:rsid w:val="00F108A7"/>
    <w:rsid w:val="00F314D6"/>
    <w:rsid w:val="00F6076C"/>
    <w:rsid w:val="00FA3556"/>
    <w:rsid w:val="00FB30AA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4C24"/>
  <w15:chartTrackingRefBased/>
  <w15:docId w15:val="{9F3A661F-58D0-4ADC-81DF-AFD1B1C9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B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o.uio.no/bitstream/handle/10852/59214/PhD-Odegaard-2017.pdf?sequence=4&amp;isAllowed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1AE22E71.dotm</Template>
  <TotalTime>123</TotalTime>
  <Pages>12</Pages>
  <Words>2830</Words>
  <Characters>15003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Bjørnebekk</dc:creator>
  <cp:keywords/>
  <dc:description/>
  <cp:lastModifiedBy>Gunnar Bjørnebekk</cp:lastModifiedBy>
  <cp:revision>18</cp:revision>
  <cp:lastPrinted>2019-05-16T11:30:00Z</cp:lastPrinted>
  <dcterms:created xsi:type="dcterms:W3CDTF">2019-03-06T22:14:00Z</dcterms:created>
  <dcterms:modified xsi:type="dcterms:W3CDTF">2019-05-16T11:52:00Z</dcterms:modified>
</cp:coreProperties>
</file>